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44BD1" w14:textId="2B06BF15" w:rsidR="003E73E7" w:rsidRPr="009C12F1" w:rsidRDefault="00183433" w:rsidP="001752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C12F1">
        <w:rPr>
          <w:rFonts w:ascii="Times New Roman" w:hAnsi="Times New Roman" w:cs="Times New Roman"/>
          <w:b/>
          <w:sz w:val="20"/>
          <w:szCs w:val="20"/>
        </w:rPr>
        <w:t>УДК 69:658.53</w:t>
      </w:r>
    </w:p>
    <w:p w14:paraId="40FD5556" w14:textId="77777777" w:rsidR="00735141" w:rsidRPr="009C12F1" w:rsidRDefault="00735141" w:rsidP="001752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1BF97DD" w14:textId="412CEC66" w:rsidR="00735141" w:rsidRPr="00CE72AC" w:rsidRDefault="00CE72AC" w:rsidP="001752E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72AC">
        <w:rPr>
          <w:rFonts w:ascii="Times New Roman" w:hAnsi="Times New Roman" w:cs="Times New Roman"/>
          <w:b/>
          <w:sz w:val="20"/>
          <w:szCs w:val="20"/>
        </w:rPr>
        <w:t>Контроль</w:t>
      </w:r>
      <w:r w:rsidRPr="00CE72A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CE72AC">
        <w:rPr>
          <w:rFonts w:ascii="Times New Roman" w:hAnsi="Times New Roman" w:cs="Times New Roman"/>
          <w:b/>
          <w:sz w:val="20"/>
          <w:szCs w:val="20"/>
        </w:rPr>
        <w:t>і регулювання ринку земельних ділянок в Україні</w:t>
      </w:r>
    </w:p>
    <w:p w14:paraId="68F33B09" w14:textId="77777777" w:rsidR="00757418" w:rsidRPr="00CE72AC" w:rsidRDefault="00757418" w:rsidP="001752E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87E7F89" w14:textId="18266939" w:rsidR="00757418" w:rsidRPr="00CE72AC" w:rsidRDefault="00CE72AC" w:rsidP="001752EA">
      <w:pPr>
        <w:pStyle w:val="a3"/>
        <w:spacing w:line="240" w:lineRule="auto"/>
        <w:jc w:val="center"/>
        <w:rPr>
          <w:rFonts w:eastAsiaTheme="minorHAnsi"/>
          <w:b/>
          <w:sz w:val="20"/>
          <w:lang w:eastAsia="en-US"/>
        </w:rPr>
      </w:pPr>
      <w:proofErr w:type="spellStart"/>
      <w:r w:rsidRPr="00CE72AC">
        <w:rPr>
          <w:rFonts w:eastAsiaTheme="minorHAnsi"/>
          <w:b/>
          <w:sz w:val="20"/>
          <w:lang w:eastAsia="en-US"/>
        </w:rPr>
        <w:t>Control</w:t>
      </w:r>
      <w:proofErr w:type="spellEnd"/>
      <w:r>
        <w:rPr>
          <w:rFonts w:eastAsiaTheme="minorHAnsi"/>
          <w:b/>
          <w:sz w:val="20"/>
          <w:lang w:val="en-US" w:eastAsia="en-US"/>
        </w:rPr>
        <w:t xml:space="preserve"> </w:t>
      </w:r>
      <w:proofErr w:type="spellStart"/>
      <w:r w:rsidRPr="00CE72AC">
        <w:rPr>
          <w:rFonts w:eastAsiaTheme="minorHAnsi"/>
          <w:b/>
          <w:sz w:val="20"/>
          <w:lang w:eastAsia="en-US"/>
        </w:rPr>
        <w:t>and</w:t>
      </w:r>
      <w:proofErr w:type="spellEnd"/>
      <w:r w:rsidRPr="00CE72AC">
        <w:rPr>
          <w:rFonts w:eastAsiaTheme="minorHAnsi"/>
          <w:b/>
          <w:sz w:val="20"/>
          <w:lang w:eastAsia="en-US"/>
        </w:rPr>
        <w:t xml:space="preserve"> </w:t>
      </w:r>
      <w:proofErr w:type="spellStart"/>
      <w:r w:rsidRPr="00CE72AC">
        <w:rPr>
          <w:rFonts w:eastAsiaTheme="minorHAnsi"/>
          <w:b/>
          <w:sz w:val="20"/>
          <w:lang w:eastAsia="en-US"/>
        </w:rPr>
        <w:t>regulation</w:t>
      </w:r>
      <w:proofErr w:type="spellEnd"/>
      <w:r w:rsidRPr="00CE72AC">
        <w:rPr>
          <w:rFonts w:eastAsiaTheme="minorHAnsi"/>
          <w:b/>
          <w:sz w:val="20"/>
          <w:lang w:eastAsia="en-US"/>
        </w:rPr>
        <w:t xml:space="preserve"> </w:t>
      </w:r>
      <w:proofErr w:type="spellStart"/>
      <w:r w:rsidRPr="00CE72AC">
        <w:rPr>
          <w:rFonts w:eastAsiaTheme="minorHAnsi"/>
          <w:b/>
          <w:sz w:val="20"/>
          <w:lang w:eastAsia="en-US"/>
        </w:rPr>
        <w:t>of</w:t>
      </w:r>
      <w:proofErr w:type="spellEnd"/>
      <w:r w:rsidRPr="00CE72AC">
        <w:rPr>
          <w:rFonts w:eastAsiaTheme="minorHAnsi"/>
          <w:b/>
          <w:sz w:val="20"/>
          <w:lang w:eastAsia="en-US"/>
        </w:rPr>
        <w:t xml:space="preserve"> </w:t>
      </w:r>
      <w:proofErr w:type="spellStart"/>
      <w:r w:rsidRPr="00CE72AC">
        <w:rPr>
          <w:rFonts w:eastAsiaTheme="minorHAnsi"/>
          <w:b/>
          <w:sz w:val="20"/>
          <w:lang w:eastAsia="en-US"/>
        </w:rPr>
        <w:t>the</w:t>
      </w:r>
      <w:proofErr w:type="spellEnd"/>
      <w:r w:rsidRPr="00CE72AC">
        <w:rPr>
          <w:rFonts w:eastAsiaTheme="minorHAnsi"/>
          <w:b/>
          <w:sz w:val="20"/>
          <w:lang w:eastAsia="en-US"/>
        </w:rPr>
        <w:t xml:space="preserve"> </w:t>
      </w:r>
      <w:proofErr w:type="spellStart"/>
      <w:r w:rsidRPr="00CE72AC">
        <w:rPr>
          <w:rFonts w:eastAsiaTheme="minorHAnsi"/>
          <w:b/>
          <w:sz w:val="20"/>
          <w:lang w:eastAsia="en-US"/>
        </w:rPr>
        <w:t>land</w:t>
      </w:r>
      <w:proofErr w:type="spellEnd"/>
      <w:r w:rsidRPr="00CE72AC">
        <w:rPr>
          <w:rFonts w:eastAsiaTheme="minorHAnsi"/>
          <w:b/>
          <w:sz w:val="20"/>
          <w:lang w:eastAsia="en-US"/>
        </w:rPr>
        <w:t xml:space="preserve"> </w:t>
      </w:r>
      <w:proofErr w:type="spellStart"/>
      <w:r w:rsidRPr="00CE72AC">
        <w:rPr>
          <w:rFonts w:eastAsiaTheme="minorHAnsi"/>
          <w:b/>
          <w:sz w:val="20"/>
          <w:lang w:eastAsia="en-US"/>
        </w:rPr>
        <w:t>market</w:t>
      </w:r>
      <w:proofErr w:type="spellEnd"/>
      <w:r w:rsidRPr="00CE72AC">
        <w:rPr>
          <w:rFonts w:eastAsiaTheme="minorHAnsi"/>
          <w:b/>
          <w:sz w:val="20"/>
          <w:lang w:eastAsia="en-US"/>
        </w:rPr>
        <w:t xml:space="preserve"> </w:t>
      </w:r>
      <w:proofErr w:type="spellStart"/>
      <w:r w:rsidRPr="00CE72AC">
        <w:rPr>
          <w:rFonts w:eastAsiaTheme="minorHAnsi"/>
          <w:b/>
          <w:sz w:val="20"/>
          <w:lang w:eastAsia="en-US"/>
        </w:rPr>
        <w:t>in</w:t>
      </w:r>
      <w:proofErr w:type="spellEnd"/>
      <w:r w:rsidRPr="00CE72AC">
        <w:rPr>
          <w:rFonts w:eastAsiaTheme="minorHAnsi"/>
          <w:b/>
          <w:sz w:val="20"/>
          <w:lang w:eastAsia="en-US"/>
        </w:rPr>
        <w:t xml:space="preserve"> </w:t>
      </w:r>
      <w:proofErr w:type="spellStart"/>
      <w:r w:rsidRPr="00CE72AC">
        <w:rPr>
          <w:rFonts w:eastAsiaTheme="minorHAnsi"/>
          <w:b/>
          <w:sz w:val="20"/>
          <w:lang w:eastAsia="en-US"/>
        </w:rPr>
        <w:t>Ukraine</w:t>
      </w:r>
      <w:proofErr w:type="spellEnd"/>
    </w:p>
    <w:p w14:paraId="36362B4B" w14:textId="77777777" w:rsidR="001B2666" w:rsidRPr="009C12F1" w:rsidRDefault="001B2666" w:rsidP="001752EA">
      <w:pPr>
        <w:pStyle w:val="a3"/>
        <w:spacing w:line="240" w:lineRule="auto"/>
        <w:jc w:val="center"/>
        <w:rPr>
          <w:b/>
          <w:sz w:val="20"/>
          <w:lang w:val="en-US"/>
        </w:rPr>
      </w:pPr>
    </w:p>
    <w:p w14:paraId="6F5A6CD6" w14:textId="6C4DB795" w:rsidR="001204E8" w:rsidRPr="009C12F1" w:rsidRDefault="00B07594" w:rsidP="001752EA">
      <w:pPr>
        <w:pStyle w:val="aa"/>
        <w:spacing w:before="0"/>
        <w:rPr>
          <w:rFonts w:ascii="Times New Roman" w:hAnsi="Times New Roman"/>
          <w:b/>
          <w:bCs/>
          <w:sz w:val="20"/>
        </w:rPr>
      </w:pPr>
      <w:proofErr w:type="spellStart"/>
      <w:r>
        <w:rPr>
          <w:rFonts w:ascii="Times New Roman" w:hAnsi="Times New Roman"/>
          <w:b/>
          <w:sz w:val="20"/>
        </w:rPr>
        <w:t>Котельчук</w:t>
      </w:r>
      <w:proofErr w:type="spellEnd"/>
      <w:r w:rsidR="00700032" w:rsidRPr="009C12F1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С</w:t>
      </w:r>
      <w:r w:rsidR="00700032" w:rsidRPr="009C12F1">
        <w:rPr>
          <w:rFonts w:ascii="Times New Roman" w:hAnsi="Times New Roman"/>
          <w:b/>
          <w:sz w:val="20"/>
        </w:rPr>
        <w:t>.</w:t>
      </w:r>
      <w:r>
        <w:rPr>
          <w:rFonts w:ascii="Times New Roman" w:hAnsi="Times New Roman"/>
          <w:b/>
          <w:sz w:val="20"/>
        </w:rPr>
        <w:t>Є</w:t>
      </w:r>
      <w:r w:rsidR="00700032" w:rsidRPr="009C12F1">
        <w:rPr>
          <w:rFonts w:ascii="Times New Roman" w:hAnsi="Times New Roman"/>
          <w:b/>
          <w:sz w:val="20"/>
        </w:rPr>
        <w:t xml:space="preserve">., студент, </w:t>
      </w:r>
      <w:r w:rsidR="001204E8" w:rsidRPr="009C12F1">
        <w:rPr>
          <w:rFonts w:ascii="Times New Roman" w:hAnsi="Times New Roman"/>
          <w:b/>
          <w:bCs/>
          <w:sz w:val="20"/>
        </w:rPr>
        <w:t xml:space="preserve">Дзюбинська О.В., </w:t>
      </w:r>
      <w:proofErr w:type="spellStart"/>
      <w:r w:rsidR="001204E8" w:rsidRPr="009C12F1">
        <w:rPr>
          <w:rFonts w:ascii="Times New Roman" w:hAnsi="Times New Roman"/>
          <w:b/>
          <w:bCs/>
          <w:sz w:val="20"/>
        </w:rPr>
        <w:t>к.е.н</w:t>
      </w:r>
      <w:proofErr w:type="spellEnd"/>
      <w:r w:rsidR="001204E8" w:rsidRPr="009C12F1">
        <w:rPr>
          <w:rFonts w:ascii="Times New Roman" w:hAnsi="Times New Roman"/>
          <w:b/>
          <w:bCs/>
          <w:sz w:val="20"/>
        </w:rPr>
        <w:t xml:space="preserve">., доцент, </w:t>
      </w:r>
      <w:proofErr w:type="spellStart"/>
      <w:r w:rsidR="001204E8" w:rsidRPr="009C12F1">
        <w:rPr>
          <w:rFonts w:ascii="Times New Roman" w:hAnsi="Times New Roman"/>
          <w:b/>
          <w:bCs/>
          <w:sz w:val="20"/>
        </w:rPr>
        <w:t>Смаль</w:t>
      </w:r>
      <w:proofErr w:type="spellEnd"/>
      <w:r w:rsidR="001204E8" w:rsidRPr="009C12F1">
        <w:rPr>
          <w:rFonts w:ascii="Times New Roman" w:hAnsi="Times New Roman"/>
          <w:b/>
          <w:bCs/>
          <w:sz w:val="20"/>
        </w:rPr>
        <w:t xml:space="preserve"> М.В., </w:t>
      </w:r>
      <w:proofErr w:type="spellStart"/>
      <w:r w:rsidR="001204E8" w:rsidRPr="009C12F1">
        <w:rPr>
          <w:rFonts w:ascii="Times New Roman" w:hAnsi="Times New Roman"/>
          <w:b/>
          <w:bCs/>
          <w:sz w:val="20"/>
        </w:rPr>
        <w:t>к.т.н</w:t>
      </w:r>
      <w:proofErr w:type="spellEnd"/>
      <w:r w:rsidR="001204E8" w:rsidRPr="009C12F1">
        <w:rPr>
          <w:rFonts w:ascii="Times New Roman" w:hAnsi="Times New Roman"/>
          <w:b/>
          <w:bCs/>
          <w:sz w:val="20"/>
        </w:rPr>
        <w:t xml:space="preserve">., доцент, Дзюбинський А.В., </w:t>
      </w:r>
      <w:proofErr w:type="spellStart"/>
      <w:r w:rsidR="001204E8" w:rsidRPr="009C12F1">
        <w:rPr>
          <w:rFonts w:ascii="Times New Roman" w:hAnsi="Times New Roman"/>
          <w:b/>
          <w:bCs/>
          <w:sz w:val="20"/>
        </w:rPr>
        <w:t>к.е.н</w:t>
      </w:r>
      <w:proofErr w:type="spellEnd"/>
      <w:r w:rsidR="001204E8" w:rsidRPr="009C12F1">
        <w:rPr>
          <w:rFonts w:ascii="Times New Roman" w:hAnsi="Times New Roman"/>
          <w:b/>
          <w:bCs/>
          <w:sz w:val="20"/>
        </w:rPr>
        <w:t>., доцент (Луцький національний технічний університет, м. Луцьк)</w:t>
      </w:r>
    </w:p>
    <w:p w14:paraId="7B0E32AB" w14:textId="77777777" w:rsidR="001204E8" w:rsidRPr="009C12F1" w:rsidRDefault="001204E8" w:rsidP="001752EA">
      <w:pPr>
        <w:pStyle w:val="aa"/>
        <w:spacing w:before="0"/>
        <w:rPr>
          <w:rFonts w:ascii="Times New Roman" w:hAnsi="Times New Roman"/>
          <w:b/>
          <w:bCs/>
          <w:sz w:val="20"/>
        </w:rPr>
      </w:pPr>
    </w:p>
    <w:p w14:paraId="6ABABDBC" w14:textId="56E85CF1" w:rsidR="001204E8" w:rsidRPr="009C12F1" w:rsidRDefault="00B07594" w:rsidP="001752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Kotelchuk</w:t>
      </w:r>
      <w:proofErr w:type="spellEnd"/>
      <w:r w:rsidR="00700032" w:rsidRPr="009C12F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S</w:t>
      </w:r>
      <w:r w:rsidR="00700032" w:rsidRPr="009C12F1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="00700032" w:rsidRPr="009C12F1">
        <w:rPr>
          <w:rFonts w:ascii="Times New Roman" w:hAnsi="Times New Roman" w:cs="Times New Roman"/>
          <w:b/>
          <w:sz w:val="20"/>
          <w:szCs w:val="20"/>
          <w:lang w:val="en-US"/>
        </w:rPr>
        <w:t>., student</w:t>
      </w:r>
      <w:r w:rsidR="00700032" w:rsidRPr="009C12F1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1204E8" w:rsidRPr="009C12F1">
        <w:rPr>
          <w:rFonts w:ascii="Times New Roman" w:hAnsi="Times New Roman"/>
          <w:b/>
          <w:bCs/>
          <w:sz w:val="20"/>
          <w:lang w:val="en-US"/>
        </w:rPr>
        <w:t>Dziubynska</w:t>
      </w:r>
      <w:proofErr w:type="spellEnd"/>
      <w:r w:rsidR="001204E8" w:rsidRPr="009C12F1">
        <w:rPr>
          <w:rFonts w:ascii="Times New Roman" w:hAnsi="Times New Roman"/>
          <w:b/>
          <w:bCs/>
          <w:sz w:val="20"/>
          <w:lang w:val="en-US"/>
        </w:rPr>
        <w:t xml:space="preserve"> O.V., </w:t>
      </w:r>
      <w:proofErr w:type="spellStart"/>
      <w:r w:rsidR="001204E8" w:rsidRPr="009C12F1">
        <w:rPr>
          <w:rFonts w:ascii="Times New Roman" w:hAnsi="Times New Roman"/>
          <w:b/>
          <w:bCs/>
          <w:sz w:val="20"/>
        </w:rPr>
        <w:t>Ph.D</w:t>
      </w:r>
      <w:proofErr w:type="spellEnd"/>
      <w:r w:rsidR="001204E8" w:rsidRPr="009C12F1">
        <w:rPr>
          <w:rFonts w:ascii="Times New Roman" w:hAnsi="Times New Roman"/>
          <w:b/>
          <w:bCs/>
          <w:sz w:val="20"/>
        </w:rPr>
        <w:t xml:space="preserve">., </w:t>
      </w:r>
      <w:r w:rsidR="001204E8" w:rsidRPr="009C12F1">
        <w:rPr>
          <w:rFonts w:ascii="Times New Roman" w:hAnsi="Times New Roman"/>
          <w:b/>
          <w:sz w:val="20"/>
          <w:lang w:val="en-US"/>
        </w:rPr>
        <w:t>Associate Professor</w:t>
      </w:r>
      <w:r w:rsidR="001204E8" w:rsidRPr="009C12F1">
        <w:rPr>
          <w:rFonts w:ascii="Times New Roman" w:hAnsi="Times New Roman"/>
          <w:b/>
          <w:bCs/>
          <w:sz w:val="20"/>
          <w:lang w:val="en-US"/>
        </w:rPr>
        <w:t xml:space="preserve">, </w:t>
      </w:r>
      <w:r w:rsidR="001204E8" w:rsidRPr="009C12F1">
        <w:rPr>
          <w:rFonts w:ascii="Times New Roman" w:hAnsi="Times New Roman"/>
          <w:b/>
          <w:sz w:val="20"/>
          <w:lang w:val="en-US"/>
        </w:rPr>
        <w:t xml:space="preserve">Smal M.V., </w:t>
      </w:r>
      <w:proofErr w:type="spellStart"/>
      <w:r w:rsidR="001204E8" w:rsidRPr="009C12F1">
        <w:rPr>
          <w:rFonts w:ascii="Times New Roman" w:hAnsi="Times New Roman"/>
          <w:b/>
          <w:bCs/>
          <w:sz w:val="20"/>
        </w:rPr>
        <w:t>Ph.D</w:t>
      </w:r>
      <w:proofErr w:type="spellEnd"/>
      <w:r w:rsidR="001204E8" w:rsidRPr="009C12F1">
        <w:rPr>
          <w:rFonts w:ascii="Times New Roman" w:hAnsi="Times New Roman"/>
          <w:b/>
          <w:bCs/>
          <w:sz w:val="20"/>
        </w:rPr>
        <w:t xml:space="preserve">., </w:t>
      </w:r>
      <w:r w:rsidR="001204E8" w:rsidRPr="009C12F1">
        <w:rPr>
          <w:rFonts w:ascii="Times New Roman" w:hAnsi="Times New Roman"/>
          <w:b/>
          <w:sz w:val="20"/>
          <w:lang w:val="en-US"/>
        </w:rPr>
        <w:t>Associate Professor,</w:t>
      </w:r>
      <w:r w:rsidR="001204E8" w:rsidRPr="009C12F1">
        <w:rPr>
          <w:rFonts w:ascii="Times New Roman" w:hAnsi="Times New Roman"/>
          <w:b/>
          <w:bCs/>
          <w:sz w:val="20"/>
          <w:lang w:val="en-US"/>
        </w:rPr>
        <w:t xml:space="preserve"> </w:t>
      </w:r>
      <w:proofErr w:type="spellStart"/>
      <w:r w:rsidR="001204E8" w:rsidRPr="009C12F1">
        <w:rPr>
          <w:rFonts w:ascii="Times New Roman" w:hAnsi="Times New Roman"/>
          <w:b/>
          <w:bCs/>
          <w:sz w:val="20"/>
          <w:lang w:val="en-US"/>
        </w:rPr>
        <w:t>Dziubynskyi</w:t>
      </w:r>
      <w:proofErr w:type="spellEnd"/>
      <w:r w:rsidR="001204E8" w:rsidRPr="009C12F1">
        <w:rPr>
          <w:rFonts w:ascii="Times New Roman" w:hAnsi="Times New Roman"/>
          <w:b/>
          <w:bCs/>
          <w:sz w:val="20"/>
          <w:lang w:val="en-US"/>
        </w:rPr>
        <w:t xml:space="preserve"> A.V.,</w:t>
      </w:r>
      <w:r w:rsidR="001204E8" w:rsidRPr="009C12F1">
        <w:rPr>
          <w:rFonts w:ascii="Times New Roman" w:hAnsi="Times New Roman"/>
          <w:b/>
          <w:bCs/>
          <w:sz w:val="20"/>
        </w:rPr>
        <w:t xml:space="preserve"> </w:t>
      </w:r>
      <w:proofErr w:type="spellStart"/>
      <w:r w:rsidR="001204E8" w:rsidRPr="009C12F1">
        <w:rPr>
          <w:rFonts w:ascii="Times New Roman" w:hAnsi="Times New Roman"/>
          <w:b/>
          <w:bCs/>
          <w:sz w:val="20"/>
        </w:rPr>
        <w:t>Ph.D</w:t>
      </w:r>
      <w:proofErr w:type="spellEnd"/>
      <w:r w:rsidR="001204E8" w:rsidRPr="009C12F1">
        <w:rPr>
          <w:rFonts w:ascii="Times New Roman" w:hAnsi="Times New Roman"/>
          <w:b/>
          <w:bCs/>
          <w:sz w:val="20"/>
        </w:rPr>
        <w:t xml:space="preserve">., </w:t>
      </w:r>
      <w:r w:rsidR="001204E8" w:rsidRPr="009C12F1">
        <w:rPr>
          <w:rFonts w:ascii="Times New Roman" w:hAnsi="Times New Roman"/>
          <w:b/>
          <w:sz w:val="20"/>
          <w:lang w:val="en-US"/>
        </w:rPr>
        <w:t>Associate Professor</w:t>
      </w:r>
      <w:r w:rsidR="00700032" w:rsidRPr="009C12F1">
        <w:rPr>
          <w:rFonts w:ascii="Times New Roman" w:hAnsi="Times New Roman"/>
          <w:b/>
          <w:sz w:val="20"/>
        </w:rPr>
        <w:t xml:space="preserve"> </w:t>
      </w:r>
      <w:r w:rsidR="001204E8" w:rsidRPr="009C12F1">
        <w:rPr>
          <w:rFonts w:ascii="Times New Roman" w:hAnsi="Times New Roman" w:cs="Times New Roman"/>
          <w:b/>
          <w:sz w:val="20"/>
          <w:szCs w:val="20"/>
          <w:lang w:val="en-US"/>
        </w:rPr>
        <w:t>(Lutsk National Technical University, Lutsk)</w:t>
      </w:r>
    </w:p>
    <w:p w14:paraId="41DB8F83" w14:textId="77777777" w:rsidR="00C729CD" w:rsidRPr="009C12F1" w:rsidRDefault="00C729CD" w:rsidP="001752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16948C0B" w14:textId="2F3B775E" w:rsidR="00B36224" w:rsidRDefault="00323085" w:rsidP="00175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uk-UA"/>
        </w:rPr>
      </w:pPr>
      <w:r w:rsidRPr="009C12F1">
        <w:rPr>
          <w:rFonts w:ascii="Times New Roman" w:eastAsia="Times New Roman" w:hAnsi="Times New Roman" w:cs="Times New Roman"/>
          <w:i/>
          <w:iCs/>
          <w:sz w:val="18"/>
          <w:szCs w:val="18"/>
          <w:lang w:eastAsia="uk-UA"/>
        </w:rPr>
        <w:t xml:space="preserve">Розглянуто </w:t>
      </w:r>
      <w:r w:rsidR="001B2666">
        <w:rPr>
          <w:rFonts w:ascii="Times New Roman" w:eastAsia="Times New Roman" w:hAnsi="Times New Roman" w:cs="Times New Roman"/>
          <w:i/>
          <w:iCs/>
          <w:sz w:val="18"/>
          <w:szCs w:val="18"/>
          <w:lang w:eastAsia="uk-UA"/>
        </w:rPr>
        <w:t xml:space="preserve">інструменти контролю і регулювання на ринку землі та їх особливості. </w:t>
      </w:r>
      <w:r w:rsidR="001204E8" w:rsidRPr="009C12F1">
        <w:rPr>
          <w:rFonts w:ascii="Times New Roman" w:eastAsia="Times New Roman" w:hAnsi="Times New Roman" w:cs="Times New Roman"/>
          <w:i/>
          <w:iCs/>
          <w:sz w:val="18"/>
          <w:szCs w:val="18"/>
          <w:lang w:eastAsia="uk-UA"/>
        </w:rPr>
        <w:t>Проаналізовано</w:t>
      </w:r>
      <w:r w:rsidRPr="009C12F1">
        <w:rPr>
          <w:rFonts w:ascii="Times New Roman" w:eastAsia="Times New Roman" w:hAnsi="Times New Roman" w:cs="Times New Roman"/>
          <w:i/>
          <w:iCs/>
          <w:sz w:val="18"/>
          <w:szCs w:val="18"/>
          <w:lang w:eastAsia="uk-UA"/>
        </w:rPr>
        <w:t xml:space="preserve"> </w:t>
      </w:r>
      <w:r w:rsidR="001B2666">
        <w:rPr>
          <w:rFonts w:ascii="Times New Roman" w:eastAsia="Times New Roman" w:hAnsi="Times New Roman" w:cs="Times New Roman"/>
          <w:i/>
          <w:iCs/>
          <w:sz w:val="18"/>
          <w:szCs w:val="18"/>
          <w:lang w:eastAsia="uk-UA"/>
        </w:rPr>
        <w:t xml:space="preserve">переваги даних інструментів та </w:t>
      </w:r>
      <w:r w:rsidR="00C128E8">
        <w:rPr>
          <w:rFonts w:ascii="Times New Roman" w:eastAsia="Times New Roman" w:hAnsi="Times New Roman" w:cs="Times New Roman"/>
          <w:i/>
          <w:iCs/>
          <w:sz w:val="18"/>
          <w:szCs w:val="18"/>
          <w:lang w:eastAsia="uk-UA"/>
        </w:rPr>
        <w:t>оглянуто</w:t>
      </w:r>
      <w:r w:rsidR="001B2666">
        <w:rPr>
          <w:rFonts w:ascii="Times New Roman" w:eastAsia="Times New Roman" w:hAnsi="Times New Roman" w:cs="Times New Roman"/>
          <w:i/>
          <w:iCs/>
          <w:sz w:val="18"/>
          <w:szCs w:val="18"/>
          <w:lang w:eastAsia="uk-UA"/>
        </w:rPr>
        <w:t xml:space="preserve"> </w:t>
      </w:r>
      <w:r w:rsidR="00B07594">
        <w:rPr>
          <w:rFonts w:ascii="Times New Roman" w:eastAsia="Times New Roman" w:hAnsi="Times New Roman" w:cs="Times New Roman"/>
          <w:i/>
          <w:iCs/>
          <w:sz w:val="18"/>
          <w:szCs w:val="18"/>
          <w:lang w:eastAsia="uk-UA"/>
        </w:rPr>
        <w:t>перспектив</w:t>
      </w:r>
      <w:r w:rsidR="001B2666">
        <w:rPr>
          <w:rFonts w:ascii="Times New Roman" w:eastAsia="Times New Roman" w:hAnsi="Times New Roman" w:cs="Times New Roman"/>
          <w:i/>
          <w:iCs/>
          <w:sz w:val="18"/>
          <w:szCs w:val="18"/>
          <w:lang w:eastAsia="uk-UA"/>
        </w:rPr>
        <w:t xml:space="preserve">ний напрям їх покращення. Проаналізовано </w:t>
      </w:r>
      <w:r w:rsidR="00C128E8">
        <w:rPr>
          <w:rFonts w:ascii="Times New Roman" w:eastAsia="Times New Roman" w:hAnsi="Times New Roman" w:cs="Times New Roman"/>
          <w:i/>
          <w:iCs/>
          <w:sz w:val="18"/>
          <w:szCs w:val="18"/>
          <w:lang w:eastAsia="uk-UA"/>
        </w:rPr>
        <w:t>вплив цих інструментів на ринок земельних ділянок в цілому</w:t>
      </w:r>
    </w:p>
    <w:p w14:paraId="2DBE494D" w14:textId="77777777" w:rsidR="00C128E8" w:rsidRPr="009C12F1" w:rsidRDefault="00C128E8" w:rsidP="00175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uk-UA"/>
        </w:rPr>
      </w:pPr>
    </w:p>
    <w:p w14:paraId="512290B0" w14:textId="74D1D322" w:rsidR="001204E8" w:rsidRDefault="001204E8" w:rsidP="001752EA">
      <w:pPr>
        <w:pStyle w:val="a6"/>
        <w:spacing w:before="0" w:beforeAutospacing="0" w:after="0" w:afterAutospacing="0"/>
        <w:ind w:firstLine="567"/>
        <w:jc w:val="both"/>
        <w:rPr>
          <w:rStyle w:val="ab"/>
          <w:sz w:val="18"/>
          <w:szCs w:val="18"/>
          <w:lang w:val="en-GB"/>
        </w:rPr>
      </w:pPr>
      <w:r w:rsidRPr="009C12F1">
        <w:rPr>
          <w:rStyle w:val="ab"/>
          <w:sz w:val="18"/>
          <w:szCs w:val="18"/>
          <w:lang w:val="en-GB"/>
        </w:rPr>
        <w:t xml:space="preserve">Considered </w:t>
      </w:r>
      <w:r w:rsidR="00B36224" w:rsidRPr="00B36224">
        <w:rPr>
          <w:rStyle w:val="ab"/>
          <w:sz w:val="18"/>
          <w:szCs w:val="18"/>
          <w:lang w:val="en-GB"/>
        </w:rPr>
        <w:t xml:space="preserve">the </w:t>
      </w:r>
      <w:r w:rsidR="00C128E8" w:rsidRPr="00C128E8">
        <w:rPr>
          <w:rStyle w:val="ab"/>
          <w:sz w:val="18"/>
          <w:szCs w:val="18"/>
          <w:lang w:val="en-GB"/>
        </w:rPr>
        <w:t xml:space="preserve">instruments of control and regulation in the land market. The advantages of these instruments are </w:t>
      </w:r>
      <w:proofErr w:type="spellStart"/>
      <w:r w:rsidR="00C128E8" w:rsidRPr="00C128E8">
        <w:rPr>
          <w:rStyle w:val="ab"/>
          <w:sz w:val="18"/>
          <w:szCs w:val="18"/>
          <w:lang w:val="en-GB"/>
        </w:rPr>
        <w:t>analyzed</w:t>
      </w:r>
      <w:proofErr w:type="spellEnd"/>
      <w:r w:rsidR="00C128E8" w:rsidRPr="00C128E8">
        <w:rPr>
          <w:rStyle w:val="ab"/>
          <w:sz w:val="18"/>
          <w:szCs w:val="18"/>
          <w:lang w:val="en-GB"/>
        </w:rPr>
        <w:t xml:space="preserve"> and promising directions for their improvement are considered. The impact of these instruments on the land market as a whole is </w:t>
      </w:r>
      <w:proofErr w:type="spellStart"/>
      <w:r w:rsidR="00C128E8" w:rsidRPr="00C128E8">
        <w:rPr>
          <w:rStyle w:val="ab"/>
          <w:sz w:val="18"/>
          <w:szCs w:val="18"/>
          <w:lang w:val="en-GB"/>
        </w:rPr>
        <w:t>analyzed</w:t>
      </w:r>
      <w:proofErr w:type="spellEnd"/>
      <w:r w:rsidR="00C128E8" w:rsidRPr="00C128E8">
        <w:rPr>
          <w:rStyle w:val="ab"/>
          <w:sz w:val="18"/>
          <w:szCs w:val="18"/>
          <w:lang w:val="en-GB"/>
        </w:rPr>
        <w:t>.</w:t>
      </w:r>
    </w:p>
    <w:p w14:paraId="0812C1CC" w14:textId="77777777" w:rsidR="00B36224" w:rsidRPr="009C12F1" w:rsidRDefault="00B36224" w:rsidP="001752EA">
      <w:pPr>
        <w:pStyle w:val="a6"/>
        <w:spacing w:before="0" w:beforeAutospacing="0" w:after="0" w:afterAutospacing="0"/>
        <w:ind w:firstLine="567"/>
        <w:jc w:val="both"/>
        <w:rPr>
          <w:rStyle w:val="ab"/>
          <w:sz w:val="18"/>
          <w:szCs w:val="18"/>
        </w:rPr>
      </w:pPr>
    </w:p>
    <w:p w14:paraId="12A21265" w14:textId="26F4F47E" w:rsidR="000E5AAE" w:rsidRDefault="00B36224" w:rsidP="00C128E8">
      <w:pPr>
        <w:pStyle w:val="a6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Ринок земельних ділянок справедливо можна вважати найважливішим сегментом ринку нерухомості, а земельні ділянки </w:t>
      </w:r>
      <w:r>
        <w:rPr>
          <w:sz w:val="20"/>
          <w:szCs w:val="20"/>
        </w:rPr>
        <w:sym w:font="Symbol" w:char="F02D"/>
      </w:r>
      <w:r>
        <w:rPr>
          <w:sz w:val="20"/>
          <w:szCs w:val="20"/>
        </w:rPr>
        <w:t xml:space="preserve"> частини земної поверхні, з встановленими межами </w:t>
      </w:r>
      <w:r>
        <w:rPr>
          <w:sz w:val="20"/>
          <w:szCs w:val="20"/>
        </w:rPr>
        <w:sym w:font="Symbol" w:char="F02D"/>
      </w:r>
      <w:r>
        <w:rPr>
          <w:sz w:val="20"/>
          <w:szCs w:val="20"/>
        </w:rPr>
        <w:t xml:space="preserve"> фундаментальним активом, що  є унікальними товаром створеним природою за мінімальної участі людини. </w:t>
      </w:r>
      <w:r w:rsidR="000E5AAE">
        <w:rPr>
          <w:sz w:val="20"/>
          <w:szCs w:val="20"/>
        </w:rPr>
        <w:t>Тому для ефективного користування таким обмеженим ресурсом необхідне існування правового поля, яке визначає відносини між учасниками ринку, їхні можливості, при цьому захищаючи інтереси держави шляхом регулювання та контролю.</w:t>
      </w:r>
    </w:p>
    <w:p w14:paraId="0B7182B0" w14:textId="639A4633" w:rsidR="000E1F6E" w:rsidRPr="000E1F6E" w:rsidRDefault="000E5AAE" w:rsidP="00C128E8">
      <w:pPr>
        <w:pStyle w:val="a6"/>
        <w:spacing w:before="0" w:beforeAutospacing="0" w:after="0" w:afterAutospacing="0"/>
        <w:ind w:firstLine="567"/>
        <w:jc w:val="both"/>
      </w:pPr>
      <w:r>
        <w:rPr>
          <w:sz w:val="20"/>
          <w:szCs w:val="20"/>
        </w:rPr>
        <w:t xml:space="preserve">Таким чином, нормативно-правовою основою для останніх є  Земельний кодекс України, </w:t>
      </w:r>
      <w:r w:rsidRPr="000E5AAE">
        <w:rPr>
          <w:sz w:val="20"/>
          <w:szCs w:val="20"/>
        </w:rPr>
        <w:t>Закон України «Про обіг земель сільськогосподарського призначення» № 552-IX, Закон «Про державний земельний кадастр», Закон «Про оцінку земель» та низка</w:t>
      </w:r>
      <w:r>
        <w:rPr>
          <w:sz w:val="20"/>
          <w:szCs w:val="20"/>
        </w:rPr>
        <w:t xml:space="preserve"> інших документів, які </w:t>
      </w:r>
      <w:r w:rsidR="000E1F6E">
        <w:rPr>
          <w:sz w:val="20"/>
          <w:szCs w:val="20"/>
        </w:rPr>
        <w:t xml:space="preserve">вужче розглядають питання земель. </w:t>
      </w:r>
      <w:r w:rsidR="000E1F6E" w:rsidRPr="000E1F6E">
        <w:rPr>
          <w:sz w:val="20"/>
          <w:szCs w:val="20"/>
        </w:rPr>
        <w:t xml:space="preserve">Вони визначають порядок набуття, відчуження, оренди та зміни цільового призначення </w:t>
      </w:r>
      <w:r w:rsidR="00DD326C">
        <w:rPr>
          <w:sz w:val="20"/>
          <w:szCs w:val="20"/>
        </w:rPr>
        <w:t>земель</w:t>
      </w:r>
      <w:r w:rsidR="000E1F6E" w:rsidRPr="000E1F6E">
        <w:rPr>
          <w:sz w:val="20"/>
          <w:szCs w:val="20"/>
        </w:rPr>
        <w:t>, встановлюють правила реєстрації прав на землю,</w:t>
      </w:r>
      <w:r w:rsidR="000E1F6E">
        <w:rPr>
          <w:sz w:val="20"/>
          <w:szCs w:val="20"/>
        </w:rPr>
        <w:t xml:space="preserve"> захист земель для збереження історико-культурної спадщини,</w:t>
      </w:r>
      <w:r w:rsidR="000E1F6E" w:rsidRPr="000E1F6E">
        <w:rPr>
          <w:sz w:val="20"/>
          <w:szCs w:val="20"/>
        </w:rPr>
        <w:t xml:space="preserve"> а також обмеження, спрямовані на забезпечення прозорості та запобігання монополізації земельних ресурсів</w:t>
      </w:r>
      <w:r w:rsidR="000E1F6E">
        <w:t>.</w:t>
      </w:r>
    </w:p>
    <w:p w14:paraId="5B9E5E1E" w14:textId="426965E7" w:rsidR="00607019" w:rsidRPr="009C12F1" w:rsidRDefault="000E1F6E" w:rsidP="00C128E8">
      <w:pPr>
        <w:pStyle w:val="a6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Головним елементом </w:t>
      </w:r>
      <w:r w:rsidR="003847B3">
        <w:rPr>
          <w:sz w:val="20"/>
          <w:szCs w:val="20"/>
        </w:rPr>
        <w:t>контролю і регулювання землі</w:t>
      </w:r>
      <w:r>
        <w:rPr>
          <w:sz w:val="20"/>
          <w:szCs w:val="20"/>
        </w:rPr>
        <w:t>, з яким стикаються всі учасники ринку є присвоєне</w:t>
      </w:r>
      <w:r w:rsidR="003847B3">
        <w:rPr>
          <w:sz w:val="20"/>
          <w:szCs w:val="20"/>
        </w:rPr>
        <w:t xml:space="preserve"> цільове та функціональне призначення, характеристики землі, що регулюють її правовий режим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lastRenderedPageBreak/>
        <w:t>використання</w:t>
      </w:r>
      <w:r w:rsidR="003847B3">
        <w:rPr>
          <w:sz w:val="20"/>
          <w:szCs w:val="20"/>
        </w:rPr>
        <w:t>. Однак попри схожість понять вони є різними</w:t>
      </w:r>
      <w:r>
        <w:rPr>
          <w:sz w:val="20"/>
          <w:szCs w:val="20"/>
        </w:rPr>
        <w:t>:</w:t>
      </w:r>
      <w:r w:rsidR="003847B3">
        <w:rPr>
          <w:sz w:val="20"/>
          <w:szCs w:val="20"/>
        </w:rPr>
        <w:t xml:space="preserve"> цільове призначення відноситься до земельного законодавства, відповідно до якого землі поділяються на 9 категорій </w:t>
      </w:r>
      <w:r w:rsidR="003847B3" w:rsidRPr="009C12F1">
        <w:rPr>
          <w:sz w:val="20"/>
          <w:szCs w:val="20"/>
          <w:lang w:val="ru-RU"/>
        </w:rPr>
        <w:t>[</w:t>
      </w:r>
      <w:r w:rsidR="00E62BD8">
        <w:rPr>
          <w:sz w:val="20"/>
          <w:szCs w:val="20"/>
        </w:rPr>
        <w:t>1</w:t>
      </w:r>
      <w:r w:rsidR="003847B3" w:rsidRPr="009C12F1">
        <w:rPr>
          <w:sz w:val="20"/>
          <w:szCs w:val="20"/>
          <w:lang w:val="ru-RU"/>
        </w:rPr>
        <w:t>]</w:t>
      </w:r>
      <w:r w:rsidR="003847B3">
        <w:rPr>
          <w:sz w:val="20"/>
          <w:szCs w:val="20"/>
          <w:lang w:val="ru-RU"/>
        </w:rPr>
        <w:t xml:space="preserve">, в свою </w:t>
      </w:r>
      <w:proofErr w:type="spellStart"/>
      <w:r w:rsidR="003847B3">
        <w:rPr>
          <w:sz w:val="20"/>
          <w:szCs w:val="20"/>
          <w:lang w:val="ru-RU"/>
        </w:rPr>
        <w:t>чергу</w:t>
      </w:r>
      <w:proofErr w:type="spellEnd"/>
      <w:r w:rsidR="003847B3">
        <w:rPr>
          <w:sz w:val="20"/>
          <w:szCs w:val="20"/>
          <w:lang w:val="ru-RU"/>
        </w:rPr>
        <w:t xml:space="preserve"> </w:t>
      </w:r>
      <w:proofErr w:type="spellStart"/>
      <w:r w:rsidR="003847B3">
        <w:rPr>
          <w:sz w:val="20"/>
          <w:szCs w:val="20"/>
          <w:lang w:val="ru-RU"/>
        </w:rPr>
        <w:t>функціональне</w:t>
      </w:r>
      <w:proofErr w:type="spellEnd"/>
      <w:r w:rsidR="003847B3">
        <w:rPr>
          <w:sz w:val="20"/>
          <w:szCs w:val="20"/>
          <w:lang w:val="ru-RU"/>
        </w:rPr>
        <w:t xml:space="preserve"> </w:t>
      </w:r>
      <w:proofErr w:type="spellStart"/>
      <w:r w:rsidR="003847B3">
        <w:rPr>
          <w:sz w:val="20"/>
          <w:szCs w:val="20"/>
          <w:lang w:val="ru-RU"/>
        </w:rPr>
        <w:t>призначення</w:t>
      </w:r>
      <w:proofErr w:type="spellEnd"/>
      <w:r w:rsidR="003847B3">
        <w:rPr>
          <w:sz w:val="20"/>
          <w:szCs w:val="20"/>
          <w:lang w:val="ru-RU"/>
        </w:rPr>
        <w:t xml:space="preserve"> </w:t>
      </w:r>
      <w:proofErr w:type="spellStart"/>
      <w:r w:rsidR="003847B3">
        <w:rPr>
          <w:sz w:val="20"/>
          <w:szCs w:val="20"/>
          <w:lang w:val="ru-RU"/>
        </w:rPr>
        <w:t>відноситься</w:t>
      </w:r>
      <w:proofErr w:type="spellEnd"/>
      <w:r w:rsidR="003847B3">
        <w:rPr>
          <w:sz w:val="20"/>
          <w:szCs w:val="20"/>
          <w:lang w:val="ru-RU"/>
        </w:rPr>
        <w:t xml:space="preserve"> до </w:t>
      </w:r>
      <w:proofErr w:type="spellStart"/>
      <w:r w:rsidR="003847B3">
        <w:rPr>
          <w:sz w:val="20"/>
          <w:szCs w:val="20"/>
          <w:lang w:val="ru-RU"/>
        </w:rPr>
        <w:t>містобудівної</w:t>
      </w:r>
      <w:proofErr w:type="spellEnd"/>
      <w:r w:rsidR="003847B3">
        <w:rPr>
          <w:sz w:val="20"/>
          <w:szCs w:val="20"/>
          <w:lang w:val="ru-RU"/>
        </w:rPr>
        <w:t xml:space="preserve"> </w:t>
      </w:r>
      <w:proofErr w:type="spellStart"/>
      <w:r w:rsidR="003847B3">
        <w:rPr>
          <w:sz w:val="20"/>
          <w:szCs w:val="20"/>
          <w:lang w:val="ru-RU"/>
        </w:rPr>
        <w:t>документації</w:t>
      </w:r>
      <w:proofErr w:type="spellEnd"/>
      <w:r w:rsidR="003847B3">
        <w:rPr>
          <w:sz w:val="20"/>
          <w:szCs w:val="20"/>
          <w:lang w:val="ru-RU"/>
        </w:rPr>
        <w:t>.</w:t>
      </w:r>
      <w:r w:rsidR="00E62BD8">
        <w:rPr>
          <w:sz w:val="20"/>
          <w:szCs w:val="20"/>
          <w:lang w:val="ru-RU"/>
        </w:rPr>
        <w:t xml:space="preserve"> </w:t>
      </w:r>
      <w:r w:rsidR="00E62BD8">
        <w:rPr>
          <w:sz w:val="20"/>
          <w:szCs w:val="20"/>
        </w:rPr>
        <w:t>Існування двох понять, що регулюють використання землі, часто призводить до плутанини, коли до прикладу за цільовим призначенням</w:t>
      </w:r>
      <w:r>
        <w:rPr>
          <w:sz w:val="20"/>
          <w:szCs w:val="20"/>
        </w:rPr>
        <w:t xml:space="preserve"> на </w:t>
      </w:r>
      <w:r w:rsidR="00E62BD8">
        <w:rPr>
          <w:sz w:val="20"/>
          <w:szCs w:val="20"/>
        </w:rPr>
        <w:t xml:space="preserve"> ділян</w:t>
      </w:r>
      <w:r>
        <w:rPr>
          <w:sz w:val="20"/>
          <w:szCs w:val="20"/>
        </w:rPr>
        <w:t>ці</w:t>
      </w:r>
      <w:r w:rsidR="00E62BD8">
        <w:rPr>
          <w:sz w:val="20"/>
          <w:szCs w:val="20"/>
        </w:rPr>
        <w:t xml:space="preserve"> може </w:t>
      </w:r>
      <w:r>
        <w:rPr>
          <w:sz w:val="20"/>
          <w:szCs w:val="20"/>
        </w:rPr>
        <w:t>відбуватись будівництво житлових і громадських будівель</w:t>
      </w:r>
      <w:r w:rsidR="00E62BD8">
        <w:rPr>
          <w:sz w:val="20"/>
          <w:szCs w:val="20"/>
        </w:rPr>
        <w:t xml:space="preserve">, а за функціональним призначенням </w:t>
      </w:r>
      <w:r w:rsidR="00E62BD8">
        <w:rPr>
          <w:sz w:val="20"/>
          <w:szCs w:val="20"/>
        </w:rPr>
        <w:sym w:font="Symbol" w:char="F02D"/>
      </w:r>
      <w:r w:rsidR="00E62BD8">
        <w:rPr>
          <w:sz w:val="20"/>
          <w:szCs w:val="20"/>
        </w:rPr>
        <w:t xml:space="preserve"> ні. Зазвичай причина такого </w:t>
      </w:r>
      <w:r w:rsidR="00E62BD8">
        <w:rPr>
          <w:sz w:val="20"/>
          <w:szCs w:val="20"/>
        </w:rPr>
        <w:sym w:font="Symbol" w:char="F02D"/>
      </w:r>
      <w:r w:rsidR="00E62BD8">
        <w:rPr>
          <w:sz w:val="20"/>
          <w:szCs w:val="20"/>
        </w:rPr>
        <w:t xml:space="preserve"> неузгоджена діяльність органів місцевої та державної влади. В таких випадках </w:t>
      </w:r>
      <w:r>
        <w:rPr>
          <w:sz w:val="20"/>
          <w:szCs w:val="20"/>
        </w:rPr>
        <w:t xml:space="preserve">власник чи користувач землі </w:t>
      </w:r>
      <w:r w:rsidRPr="000E1F6E">
        <w:rPr>
          <w:sz w:val="20"/>
          <w:szCs w:val="20"/>
        </w:rPr>
        <w:t>несе відповідальність, насамперед, за дотримання вимог земельного законодавства і використання земельної ділянки за її цільовим призначенням</w:t>
      </w:r>
      <w:r w:rsidRPr="000E1F6E">
        <w:rPr>
          <w:color w:val="424A57"/>
          <w:sz w:val="20"/>
          <w:szCs w:val="20"/>
          <w:shd w:val="clear" w:color="auto" w:fill="FFFFFF"/>
        </w:rPr>
        <w:t>.</w:t>
      </w:r>
      <w:r>
        <w:rPr>
          <w:sz w:val="20"/>
          <w:szCs w:val="20"/>
        </w:rPr>
        <w:t xml:space="preserve"> Тому</w:t>
      </w:r>
      <w:r w:rsidR="00E62BD8" w:rsidRPr="000E1F6E">
        <w:rPr>
          <w:sz w:val="20"/>
          <w:szCs w:val="20"/>
        </w:rPr>
        <w:t xml:space="preserve"> саме цільове призначення фактично </w:t>
      </w:r>
      <w:r>
        <w:rPr>
          <w:sz w:val="20"/>
          <w:szCs w:val="20"/>
        </w:rPr>
        <w:t>володіє</w:t>
      </w:r>
      <w:r w:rsidR="00E62BD8" w:rsidRPr="000E1F6E">
        <w:rPr>
          <w:sz w:val="20"/>
          <w:szCs w:val="20"/>
        </w:rPr>
        <w:t xml:space="preserve"> більшо</w:t>
      </w:r>
      <w:r>
        <w:rPr>
          <w:sz w:val="20"/>
          <w:szCs w:val="20"/>
        </w:rPr>
        <w:t xml:space="preserve">ю </w:t>
      </w:r>
      <w:r w:rsidR="00E62BD8" w:rsidRPr="000E1F6E">
        <w:rPr>
          <w:sz w:val="20"/>
          <w:szCs w:val="20"/>
        </w:rPr>
        <w:t>сил</w:t>
      </w:r>
      <w:r>
        <w:rPr>
          <w:sz w:val="20"/>
          <w:szCs w:val="20"/>
        </w:rPr>
        <w:t xml:space="preserve">ою </w:t>
      </w:r>
      <w:r w:rsidR="00E62BD8" w:rsidRPr="000E1F6E">
        <w:rPr>
          <w:sz w:val="20"/>
          <w:szCs w:val="20"/>
        </w:rPr>
        <w:t>і значення</w:t>
      </w:r>
      <w:r>
        <w:rPr>
          <w:sz w:val="20"/>
          <w:szCs w:val="20"/>
        </w:rPr>
        <w:t>м</w:t>
      </w:r>
      <w:r w:rsidR="00E62BD8" w:rsidRPr="000E1F6E">
        <w:rPr>
          <w:sz w:val="20"/>
          <w:szCs w:val="20"/>
        </w:rPr>
        <w:t>.</w:t>
      </w:r>
    </w:p>
    <w:p w14:paraId="64554F04" w14:textId="622C07F7" w:rsidR="000E1DC1" w:rsidRDefault="000E1DC1" w:rsidP="00C12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0E1DC1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Поділ земель на категорії та види дозволяє уникати невідповідного інтересам суспільства використання земельних ділянок, такого як хаотична забудова, вирубка лісів, і забезпечувати збереження природних ресурсів та раціональний розвиток території.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Крім того, ц</w:t>
      </w:r>
      <w:r w:rsidR="000E1F6E" w:rsidRPr="000E1DC1">
        <w:rPr>
          <w:rFonts w:ascii="Times New Roman" w:eastAsia="Times New Roman" w:hAnsi="Times New Roman" w:cs="Times New Roman"/>
          <w:sz w:val="20"/>
          <w:szCs w:val="20"/>
          <w:lang w:eastAsia="uk-UA"/>
        </w:rPr>
        <w:t>ільове призначення</w:t>
      </w:r>
      <w:r w:rsidRPr="000E1DC1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земельної ділянки</w:t>
      </w:r>
      <w:r w:rsidR="000E1F6E" w:rsidRPr="000E1DC1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може бути змінено</w:t>
      </w:r>
      <w:r w:rsidRPr="000E1DC1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0E1DC1">
        <w:rPr>
          <w:rFonts w:ascii="Times New Roman" w:eastAsia="Times New Roman" w:hAnsi="Times New Roman" w:cs="Times New Roman"/>
          <w:sz w:val="20"/>
          <w:szCs w:val="20"/>
          <w:lang w:eastAsia="uk-UA"/>
        </w:rPr>
        <w:sym w:font="Symbol" w:char="F05B"/>
      </w:r>
      <w:r w:rsidRPr="000E1DC1">
        <w:rPr>
          <w:rFonts w:ascii="Times New Roman" w:eastAsia="Times New Roman" w:hAnsi="Times New Roman" w:cs="Times New Roman"/>
          <w:sz w:val="20"/>
          <w:szCs w:val="20"/>
          <w:lang w:eastAsia="uk-UA"/>
        </w:rPr>
        <w:t>2</w:t>
      </w:r>
      <w:r w:rsidRPr="000E1DC1">
        <w:rPr>
          <w:rFonts w:ascii="Times New Roman" w:eastAsia="Times New Roman" w:hAnsi="Times New Roman" w:cs="Times New Roman"/>
          <w:sz w:val="20"/>
          <w:szCs w:val="20"/>
          <w:lang w:eastAsia="uk-UA"/>
        </w:rPr>
        <w:sym w:font="Symbol" w:char="F05D"/>
      </w:r>
      <w:r w:rsidRPr="000E1DC1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, однак </w:t>
      </w:r>
      <w:r w:rsidR="00720394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в такому випадку </w:t>
      </w:r>
      <w:r w:rsidR="00720394" w:rsidRPr="00720394">
        <w:rPr>
          <w:rFonts w:ascii="Times New Roman" w:eastAsia="Times New Roman" w:hAnsi="Times New Roman" w:cs="Times New Roman"/>
          <w:sz w:val="20"/>
          <w:szCs w:val="20"/>
          <w:lang w:eastAsia="uk-UA"/>
        </w:rPr>
        <w:t>нове цільове призначення земельної ділянки</w:t>
      </w:r>
      <w:r w:rsidR="00720394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повинно співвідноситись</w:t>
      </w:r>
      <w:r w:rsidR="00720394" w:rsidRPr="00720394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із функціональним призначенням території.</w:t>
      </w:r>
      <w:r w:rsidRPr="000E1DC1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Існування чіткого поділу, разом з можливістю внесення змін убезпечує ринок від хаосу, при цьому зберігаючи певну гнучкість дій.</w:t>
      </w:r>
      <w:r w:rsidRPr="000E1DC1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</w:p>
    <w:p w14:paraId="08D64DC5" w14:textId="5E2DD80E" w:rsidR="009D0A04" w:rsidRDefault="009D0A04" w:rsidP="00C12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Наступним елементом контролю і регулювання є Державний земельний кадастр (ДЗК) </w:t>
      </w:r>
      <w:r w:rsidRPr="009D0A04">
        <w:rPr>
          <w:rFonts w:ascii="Times New Roman" w:hAnsi="Times New Roman" w:cs="Times New Roman"/>
          <w:sz w:val="20"/>
          <w:szCs w:val="20"/>
        </w:rPr>
        <w:sym w:font="Symbol" w:char="F02D"/>
      </w:r>
      <w:r w:rsidRPr="009D0A0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об’єднана державна цифрова система, яка містить відомості про землі, їх цільове призначення, дані про кількісну і якісну характеристику земель, межі ділянки тощо. ДЗК як інструмент дозволяє користувачам вільно отримувати інформацію про земельні ділянки, отримуючи вичерпну інформацію</w:t>
      </w:r>
      <w:r w:rsidR="00CE5B42">
        <w:rPr>
          <w:rFonts w:ascii="Times New Roman" w:hAnsi="Times New Roman" w:cs="Times New Roman"/>
          <w:sz w:val="20"/>
          <w:szCs w:val="20"/>
        </w:rPr>
        <w:t>, що</w:t>
      </w:r>
      <w:r>
        <w:rPr>
          <w:rFonts w:ascii="Times New Roman" w:hAnsi="Times New Roman" w:cs="Times New Roman"/>
          <w:sz w:val="20"/>
          <w:szCs w:val="20"/>
        </w:rPr>
        <w:t xml:space="preserve"> дозволяє </w:t>
      </w:r>
      <w:r w:rsidR="00CE5B42">
        <w:rPr>
          <w:rFonts w:ascii="Times New Roman" w:hAnsi="Times New Roman" w:cs="Times New Roman"/>
          <w:sz w:val="20"/>
          <w:szCs w:val="20"/>
        </w:rPr>
        <w:t xml:space="preserve">здійснювати економічну діяльність будь-яким фізичним особам. В свою чергу держава володіє даними про величезні території, попри їх подрібненість, що в умовах величезної території України є ефективним і просто необхідним засобом. Однак у зв’язку з дією воєнного стану, доступ до ДЗК обмежено, що роз’яснено окремою постановою Кабміну </w:t>
      </w:r>
      <w:r w:rsidR="00CE5B42">
        <w:rPr>
          <w:rFonts w:ascii="Times New Roman" w:hAnsi="Times New Roman" w:cs="Times New Roman"/>
          <w:sz w:val="20"/>
          <w:szCs w:val="20"/>
        </w:rPr>
        <w:sym w:font="Symbol" w:char="F05B"/>
      </w:r>
      <w:r w:rsidR="00CE5B42">
        <w:rPr>
          <w:rFonts w:ascii="Times New Roman" w:hAnsi="Times New Roman" w:cs="Times New Roman"/>
          <w:sz w:val="20"/>
          <w:szCs w:val="20"/>
        </w:rPr>
        <w:t>3</w:t>
      </w:r>
      <w:r w:rsidR="00CE5B42">
        <w:rPr>
          <w:rFonts w:ascii="Times New Roman" w:hAnsi="Times New Roman" w:cs="Times New Roman"/>
          <w:sz w:val="20"/>
          <w:szCs w:val="20"/>
        </w:rPr>
        <w:sym w:font="Symbol" w:char="F05D"/>
      </w:r>
      <w:r w:rsidR="00CE5B42">
        <w:rPr>
          <w:rFonts w:ascii="Times New Roman" w:hAnsi="Times New Roman" w:cs="Times New Roman"/>
          <w:sz w:val="20"/>
          <w:szCs w:val="20"/>
        </w:rPr>
        <w:t>.</w:t>
      </w:r>
    </w:p>
    <w:p w14:paraId="4B139192" w14:textId="70C39B9B" w:rsidR="00CE5B42" w:rsidRDefault="00CE5B42" w:rsidP="00C12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Для контролю над великими гравцями на ринку землі використовується електронна система аукціонів </w:t>
      </w:r>
      <w:r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Prozorro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. Дана система забезпечує конкурентні умови продажу </w:t>
      </w:r>
      <w:r w:rsidR="00F901CD">
        <w:rPr>
          <w:rFonts w:ascii="Times New Roman" w:eastAsia="Times New Roman" w:hAnsi="Times New Roman" w:cs="Times New Roman"/>
          <w:sz w:val="20"/>
          <w:szCs w:val="20"/>
          <w:lang w:eastAsia="uk-UA"/>
        </w:rPr>
        <w:t>державних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та комунальних земель, що сприяє </w:t>
      </w:r>
      <w:r w:rsidR="00F901CD">
        <w:rPr>
          <w:rFonts w:ascii="Times New Roman" w:eastAsia="Times New Roman" w:hAnsi="Times New Roman" w:cs="Times New Roman"/>
          <w:sz w:val="20"/>
          <w:szCs w:val="20"/>
          <w:lang w:eastAsia="uk-UA"/>
        </w:rPr>
        <w:t>наповненню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бюджетів територіальних громад. </w:t>
      </w:r>
      <w:r w:rsidR="00F901CD">
        <w:rPr>
          <w:rFonts w:ascii="Times New Roman" w:eastAsia="Times New Roman" w:hAnsi="Times New Roman" w:cs="Times New Roman"/>
          <w:sz w:val="20"/>
          <w:szCs w:val="20"/>
          <w:lang w:eastAsia="uk-UA"/>
        </w:rPr>
        <w:t>Приведення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таких аукціонів дозволяє громадам здійснювати продажі не нижче ринкових цін, а покупцям</w:t>
      </w:r>
      <w:r w:rsidR="00C128E8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надає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рівні умови і можливості. Існування аукціонів </w:t>
      </w:r>
      <w:r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Prozorro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захищає від шахрайських схем і дозволяє уникати корупційних ризиків. Навіть якщо останні намагаються втілюватися недобросовісними чиновниками чи інвесторами, вільний доступ громадян до перегляду </w:t>
      </w:r>
      <w:r w:rsidR="00E65180">
        <w:rPr>
          <w:rFonts w:ascii="Times New Roman" w:eastAsia="Times New Roman" w:hAnsi="Times New Roman" w:cs="Times New Roman"/>
          <w:sz w:val="20"/>
          <w:szCs w:val="20"/>
          <w:lang w:eastAsia="uk-UA"/>
        </w:rPr>
        <w:t>додатково унеможливлює такі дії</w:t>
      </w:r>
    </w:p>
    <w:p w14:paraId="02F0F471" w14:textId="19A3CECE" w:rsidR="00F901CD" w:rsidRDefault="00F901CD" w:rsidP="00C12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lastRenderedPageBreak/>
        <w:t xml:space="preserve">Отже попри курс України на створення вільного ринку нерухомості, в тому числі ринку земельних ділянок, держава здійснює політику контролю та регулювання на ринку землі. Для цього вона використовує різні інструменти: нормативні документи </w:t>
      </w:r>
      <w:r w:rsidRPr="009D0A04">
        <w:rPr>
          <w:rFonts w:ascii="Times New Roman" w:hAnsi="Times New Roman" w:cs="Times New Roman"/>
          <w:sz w:val="20"/>
          <w:szCs w:val="20"/>
        </w:rPr>
        <w:sym w:font="Symbol" w:char="F02D"/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як старий класичний метод так і нові сучасні </w:t>
      </w:r>
      <w:r w:rsidRPr="009D0A04">
        <w:rPr>
          <w:rFonts w:ascii="Times New Roman" w:hAnsi="Times New Roman" w:cs="Times New Roman"/>
          <w:sz w:val="20"/>
          <w:szCs w:val="20"/>
        </w:rPr>
        <w:sym w:font="Symbol" w:char="F02D"/>
      </w:r>
      <w:r>
        <w:rPr>
          <w:rFonts w:ascii="Times New Roman" w:hAnsi="Times New Roman" w:cs="Times New Roman"/>
          <w:sz w:val="20"/>
          <w:szCs w:val="20"/>
        </w:rPr>
        <w:t xml:space="preserve"> геоінформаційну систему (Державний земельний кадастр) і електроні аукціони (система </w:t>
      </w:r>
      <w:r>
        <w:rPr>
          <w:rFonts w:ascii="Times New Roman" w:hAnsi="Times New Roman" w:cs="Times New Roman"/>
          <w:sz w:val="20"/>
          <w:szCs w:val="20"/>
          <w:lang w:val="en-US"/>
        </w:rPr>
        <w:t>Prozorro</w:t>
      </w:r>
      <w:r w:rsidRPr="00930591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 Кожен з цих інструментів вже довів свою ефективність, забезпечивши нормальне і стабільне функціонування ринку землі в умовах воєнного стану, показуючи впевнений ріст. Однак варто зазначити про існування ряду проблем, зокрема недостатньо ефективн</w:t>
      </w:r>
      <w:r w:rsidR="00C128E8">
        <w:rPr>
          <w:rFonts w:ascii="Times New Roman" w:hAnsi="Times New Roman" w:cs="Times New Roman"/>
          <w:sz w:val="20"/>
          <w:szCs w:val="20"/>
        </w:rPr>
        <w:t xml:space="preserve">у </w:t>
      </w:r>
      <w:r>
        <w:rPr>
          <w:rFonts w:ascii="Times New Roman" w:hAnsi="Times New Roman" w:cs="Times New Roman"/>
          <w:sz w:val="20"/>
          <w:szCs w:val="20"/>
        </w:rPr>
        <w:t xml:space="preserve">взаємодією органів місцевої та державної влади в цій сфері, що призводить до </w:t>
      </w:r>
      <w:r w:rsidR="001B2666">
        <w:rPr>
          <w:rFonts w:ascii="Times New Roman" w:hAnsi="Times New Roman" w:cs="Times New Roman"/>
          <w:sz w:val="20"/>
          <w:szCs w:val="20"/>
        </w:rPr>
        <w:t>виникнення</w:t>
      </w:r>
      <w:r>
        <w:rPr>
          <w:rFonts w:ascii="Times New Roman" w:hAnsi="Times New Roman" w:cs="Times New Roman"/>
          <w:sz w:val="20"/>
          <w:szCs w:val="20"/>
        </w:rPr>
        <w:t xml:space="preserve"> конфліктів і створення основи для незаконної діяльності. </w:t>
      </w:r>
    </w:p>
    <w:p w14:paraId="07CD96C7" w14:textId="4B3E2E2B" w:rsidR="00403F13" w:rsidRPr="00403F13" w:rsidRDefault="00403F13" w:rsidP="00C12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hAnsi="Times New Roman" w:cs="Times New Roman"/>
          <w:sz w:val="20"/>
          <w:szCs w:val="20"/>
        </w:rPr>
        <w:t xml:space="preserve">Разом з тим успіх системи </w:t>
      </w:r>
      <w:r>
        <w:rPr>
          <w:rFonts w:ascii="Times New Roman" w:hAnsi="Times New Roman" w:cs="Times New Roman"/>
          <w:sz w:val="20"/>
          <w:szCs w:val="20"/>
          <w:lang w:val="en-US"/>
        </w:rPr>
        <w:t>Prozorro</w:t>
      </w:r>
      <w:r>
        <w:rPr>
          <w:rFonts w:ascii="Times New Roman" w:hAnsi="Times New Roman" w:cs="Times New Roman"/>
          <w:sz w:val="20"/>
          <w:szCs w:val="20"/>
        </w:rPr>
        <w:t xml:space="preserve"> і ДЗК доводить, що саме відкритість і прозорість створюють сприятливі умови для подальшого розвитку і росту ринку землі в Україні.  Тому закономірний і необхідним кроком має бути продовження курсу на відкритість </w:t>
      </w:r>
      <w:r w:rsidR="001B2666">
        <w:rPr>
          <w:rFonts w:ascii="Times New Roman" w:hAnsi="Times New Roman" w:cs="Times New Roman"/>
          <w:sz w:val="20"/>
          <w:szCs w:val="20"/>
        </w:rPr>
        <w:t xml:space="preserve">і прозорість. Практика доводить, що там де </w:t>
      </w:r>
      <w:proofErr w:type="spellStart"/>
      <w:r w:rsidR="001B2666">
        <w:rPr>
          <w:rFonts w:ascii="Times New Roman" w:hAnsi="Times New Roman" w:cs="Times New Roman"/>
          <w:sz w:val="20"/>
          <w:szCs w:val="20"/>
        </w:rPr>
        <w:t>громісткий</w:t>
      </w:r>
      <w:proofErr w:type="spellEnd"/>
      <w:r w:rsidR="001B2666">
        <w:rPr>
          <w:rFonts w:ascii="Times New Roman" w:hAnsi="Times New Roman" w:cs="Times New Roman"/>
          <w:sz w:val="20"/>
          <w:szCs w:val="20"/>
        </w:rPr>
        <w:t xml:space="preserve"> державний апарат з тих чи інших причин не бачить порушень їх неодмінно знаходять суспільні організації чи прості небайдужі громадяни. Така кооперація укріплює ринок, перетворюючи його на привабливе інвестиційно-правове поле.</w:t>
      </w:r>
    </w:p>
    <w:p w14:paraId="69B14501" w14:textId="77777777" w:rsidR="008C72C0" w:rsidRPr="009C12F1" w:rsidRDefault="008C72C0" w:rsidP="00C76B0C">
      <w:pPr>
        <w:pStyle w:val="a6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14:paraId="76FDCFC0" w14:textId="0B82FF5A" w:rsidR="0041617F" w:rsidRPr="00CE72AC" w:rsidRDefault="00F02514" w:rsidP="00381DE1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18"/>
          <w:szCs w:val="18"/>
        </w:rPr>
      </w:pPr>
      <w:r w:rsidRPr="00CE72AC">
        <w:rPr>
          <w:sz w:val="18"/>
          <w:szCs w:val="18"/>
        </w:rPr>
        <w:t xml:space="preserve">Стаття 19. Категорії земель : Земельний кодекс України. URL: </w:t>
      </w:r>
      <w:hyperlink r:id="rId6" w:history="1">
        <w:r w:rsidR="00CE72AC" w:rsidRPr="00CE72AC">
          <w:rPr>
            <w:rStyle w:val="a7"/>
            <w:sz w:val="18"/>
            <w:szCs w:val="18"/>
          </w:rPr>
          <w:t>https://zakon.rada.gov.ua/laws/show/2768-14#Text</w:t>
        </w:r>
      </w:hyperlink>
      <w:r w:rsidR="00CE72AC" w:rsidRPr="00CE72AC">
        <w:rPr>
          <w:sz w:val="18"/>
          <w:szCs w:val="18"/>
          <w:lang w:val="en-US"/>
        </w:rPr>
        <w:t xml:space="preserve"> 2. </w:t>
      </w:r>
      <w:r w:rsidR="00C128E8" w:rsidRPr="00CE72AC">
        <w:rPr>
          <w:sz w:val="18"/>
          <w:szCs w:val="18"/>
        </w:rPr>
        <w:t xml:space="preserve">Стаття 20. Встановлення та зміна цільового призначення земельних ділянок </w:t>
      </w:r>
      <w:r w:rsidRPr="00CE72AC">
        <w:rPr>
          <w:sz w:val="18"/>
          <w:szCs w:val="18"/>
        </w:rPr>
        <w:t xml:space="preserve">: Земельний кодекс України. URL: </w:t>
      </w:r>
      <w:hyperlink r:id="rId7" w:anchor="Text" w:history="1">
        <w:r w:rsidRPr="00CE72AC">
          <w:rPr>
            <w:rStyle w:val="a7"/>
            <w:sz w:val="18"/>
            <w:szCs w:val="18"/>
          </w:rPr>
          <w:t>https://zakon.rada.gov.ua/laws/show/2768-14#Text</w:t>
        </w:r>
      </w:hyperlink>
      <w:r w:rsidR="00CE72AC" w:rsidRPr="00CE72AC">
        <w:rPr>
          <w:rStyle w:val="a7"/>
          <w:sz w:val="18"/>
          <w:szCs w:val="18"/>
          <w:lang w:val="ru-RU"/>
        </w:rPr>
        <w:t xml:space="preserve"> </w:t>
      </w:r>
      <w:r w:rsidR="00CE72AC" w:rsidRPr="00CE72AC">
        <w:rPr>
          <w:rStyle w:val="a7"/>
          <w:color w:val="auto"/>
          <w:sz w:val="18"/>
          <w:szCs w:val="18"/>
          <w:u w:val="none"/>
          <w:lang w:val="ru-RU"/>
        </w:rPr>
        <w:t xml:space="preserve">3. </w:t>
      </w:r>
      <w:r w:rsidRPr="00CE72AC">
        <w:rPr>
          <w:sz w:val="18"/>
          <w:szCs w:val="18"/>
        </w:rPr>
        <w:t xml:space="preserve">Деякі питання ведення та функціонування Державного земельного кадастру в умовах воєнного стану : Постанова Кабінету Міністрів України. URL: </w:t>
      </w:r>
      <w:hyperlink r:id="rId8" w:tgtFrame="_new" w:history="1">
        <w:r w:rsidRPr="00CE72AC">
          <w:rPr>
            <w:rStyle w:val="a7"/>
            <w:sz w:val="18"/>
            <w:szCs w:val="18"/>
          </w:rPr>
          <w:t>https://zakon.rada.gov.ua/go/564-2022-%D0%BF</w:t>
        </w:r>
      </w:hyperlink>
    </w:p>
    <w:sectPr w:rsidR="0041617F" w:rsidRPr="00CE72AC" w:rsidSect="001752EA">
      <w:pgSz w:w="8392" w:h="11907" w:code="11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B1445"/>
    <w:multiLevelType w:val="hybridMultilevel"/>
    <w:tmpl w:val="7C62531E"/>
    <w:lvl w:ilvl="0" w:tplc="E6A85EB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D3567D3"/>
    <w:multiLevelType w:val="hybridMultilevel"/>
    <w:tmpl w:val="2B585AA8"/>
    <w:lvl w:ilvl="0" w:tplc="D75EBF9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F625751"/>
    <w:multiLevelType w:val="hybridMultilevel"/>
    <w:tmpl w:val="52062BF2"/>
    <w:lvl w:ilvl="0" w:tplc="FFFFFFFF">
      <w:start w:val="1"/>
      <w:numFmt w:val="decimal"/>
      <w:lvlText w:val="%1.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18B279A"/>
    <w:multiLevelType w:val="hybridMultilevel"/>
    <w:tmpl w:val="E8B4D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F296F"/>
    <w:multiLevelType w:val="hybridMultilevel"/>
    <w:tmpl w:val="B76074D8"/>
    <w:lvl w:ilvl="0" w:tplc="60B0C7C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0DF4B82"/>
    <w:multiLevelType w:val="hybridMultilevel"/>
    <w:tmpl w:val="839A1510"/>
    <w:lvl w:ilvl="0" w:tplc="7568A19C">
      <w:start w:val="2016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421440E"/>
    <w:multiLevelType w:val="hybridMultilevel"/>
    <w:tmpl w:val="4D44A5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C2D05"/>
    <w:multiLevelType w:val="hybridMultilevel"/>
    <w:tmpl w:val="52062BF2"/>
    <w:lvl w:ilvl="0" w:tplc="0422000F">
      <w:start w:val="1"/>
      <w:numFmt w:val="decimal"/>
      <w:lvlText w:val="%1."/>
      <w:lvlJc w:val="left"/>
      <w:pPr>
        <w:ind w:left="1145" w:hanging="360"/>
      </w:pPr>
    </w:lvl>
    <w:lvl w:ilvl="1" w:tplc="04220019" w:tentative="1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2A280509"/>
    <w:multiLevelType w:val="hybridMultilevel"/>
    <w:tmpl w:val="CF1AA1E0"/>
    <w:lvl w:ilvl="0" w:tplc="522606C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00CFF"/>
    <w:multiLevelType w:val="hybridMultilevel"/>
    <w:tmpl w:val="5A8E92B2"/>
    <w:lvl w:ilvl="0" w:tplc="92203AA0">
      <w:start w:val="20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ED42F4C"/>
    <w:multiLevelType w:val="hybridMultilevel"/>
    <w:tmpl w:val="47EA4620"/>
    <w:lvl w:ilvl="0" w:tplc="793433CA">
      <w:start w:val="2016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FC424E9"/>
    <w:multiLevelType w:val="hybridMultilevel"/>
    <w:tmpl w:val="50F64F32"/>
    <w:lvl w:ilvl="0" w:tplc="FFFFFFFF">
      <w:start w:val="1"/>
      <w:numFmt w:val="decimal"/>
      <w:lvlText w:val="%1."/>
      <w:lvlJc w:val="left"/>
      <w:pPr>
        <w:ind w:left="114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B2BA9"/>
    <w:multiLevelType w:val="hybridMultilevel"/>
    <w:tmpl w:val="CEE4ABA0"/>
    <w:lvl w:ilvl="0" w:tplc="7BBC66DE">
      <w:start w:val="2016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B6B2E28"/>
    <w:multiLevelType w:val="hybridMultilevel"/>
    <w:tmpl w:val="C926450C"/>
    <w:lvl w:ilvl="0" w:tplc="054CA112">
      <w:start w:val="2016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4FE187D"/>
    <w:multiLevelType w:val="hybridMultilevel"/>
    <w:tmpl w:val="74E27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356F8"/>
    <w:multiLevelType w:val="hybridMultilevel"/>
    <w:tmpl w:val="864229AC"/>
    <w:lvl w:ilvl="0" w:tplc="DF44F4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C8C4BE8"/>
    <w:multiLevelType w:val="multilevel"/>
    <w:tmpl w:val="AD26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8E0A7B"/>
    <w:multiLevelType w:val="hybridMultilevel"/>
    <w:tmpl w:val="9C1202A2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187746D"/>
    <w:multiLevelType w:val="hybridMultilevel"/>
    <w:tmpl w:val="AA68D67A"/>
    <w:lvl w:ilvl="0" w:tplc="BF189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57AD7"/>
    <w:multiLevelType w:val="multilevel"/>
    <w:tmpl w:val="C00C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A66DA4"/>
    <w:multiLevelType w:val="hybridMultilevel"/>
    <w:tmpl w:val="1BEEC716"/>
    <w:lvl w:ilvl="0" w:tplc="BF18995E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DBD499C"/>
    <w:multiLevelType w:val="multilevel"/>
    <w:tmpl w:val="5EF4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F02C67"/>
    <w:multiLevelType w:val="hybridMultilevel"/>
    <w:tmpl w:val="3E2ECCBE"/>
    <w:lvl w:ilvl="0" w:tplc="2C4CEF34">
      <w:start w:val="1"/>
      <w:numFmt w:val="decimal"/>
      <w:lvlText w:val="%1."/>
      <w:lvlJc w:val="left"/>
      <w:pPr>
        <w:ind w:left="1070" w:hanging="6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335093F"/>
    <w:multiLevelType w:val="hybridMultilevel"/>
    <w:tmpl w:val="41A48356"/>
    <w:lvl w:ilvl="0" w:tplc="2E0CF13C">
      <w:start w:val="2016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6"/>
  </w:num>
  <w:num w:numId="4">
    <w:abstractNumId w:val="22"/>
  </w:num>
  <w:num w:numId="5">
    <w:abstractNumId w:val="17"/>
  </w:num>
  <w:num w:numId="6">
    <w:abstractNumId w:val="7"/>
  </w:num>
  <w:num w:numId="7">
    <w:abstractNumId w:val="2"/>
  </w:num>
  <w:num w:numId="8">
    <w:abstractNumId w:val="11"/>
  </w:num>
  <w:num w:numId="9">
    <w:abstractNumId w:val="15"/>
  </w:num>
  <w:num w:numId="10">
    <w:abstractNumId w:val="4"/>
  </w:num>
  <w:num w:numId="11">
    <w:abstractNumId w:val="0"/>
  </w:num>
  <w:num w:numId="12">
    <w:abstractNumId w:val="19"/>
  </w:num>
  <w:num w:numId="13">
    <w:abstractNumId w:val="3"/>
  </w:num>
  <w:num w:numId="14">
    <w:abstractNumId w:val="9"/>
  </w:num>
  <w:num w:numId="15">
    <w:abstractNumId w:val="8"/>
  </w:num>
  <w:num w:numId="16">
    <w:abstractNumId w:val="23"/>
  </w:num>
  <w:num w:numId="17">
    <w:abstractNumId w:val="12"/>
  </w:num>
  <w:num w:numId="18">
    <w:abstractNumId w:val="10"/>
  </w:num>
  <w:num w:numId="19">
    <w:abstractNumId w:val="5"/>
  </w:num>
  <w:num w:numId="20">
    <w:abstractNumId w:val="13"/>
  </w:num>
  <w:num w:numId="21">
    <w:abstractNumId w:val="6"/>
  </w:num>
  <w:num w:numId="22">
    <w:abstractNumId w:val="14"/>
  </w:num>
  <w:num w:numId="23">
    <w:abstractNumId w:val="1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1F"/>
    <w:rsid w:val="00055D6A"/>
    <w:rsid w:val="000633BC"/>
    <w:rsid w:val="00075F34"/>
    <w:rsid w:val="0009312F"/>
    <w:rsid w:val="000E1DC1"/>
    <w:rsid w:val="000E1F6E"/>
    <w:rsid w:val="000E5AAE"/>
    <w:rsid w:val="000E7295"/>
    <w:rsid w:val="00111D01"/>
    <w:rsid w:val="001204E8"/>
    <w:rsid w:val="0014253F"/>
    <w:rsid w:val="00167047"/>
    <w:rsid w:val="001752EA"/>
    <w:rsid w:val="00183433"/>
    <w:rsid w:val="00194318"/>
    <w:rsid w:val="001B2666"/>
    <w:rsid w:val="001F60CB"/>
    <w:rsid w:val="00244D2E"/>
    <w:rsid w:val="00267123"/>
    <w:rsid w:val="002D5E7E"/>
    <w:rsid w:val="002E54DE"/>
    <w:rsid w:val="00322D4B"/>
    <w:rsid w:val="00323085"/>
    <w:rsid w:val="003847B3"/>
    <w:rsid w:val="003A638A"/>
    <w:rsid w:val="003E73E7"/>
    <w:rsid w:val="00403F13"/>
    <w:rsid w:val="0041617F"/>
    <w:rsid w:val="00453BB1"/>
    <w:rsid w:val="004572D0"/>
    <w:rsid w:val="004679FC"/>
    <w:rsid w:val="004B0FED"/>
    <w:rsid w:val="004C157D"/>
    <w:rsid w:val="004E29FD"/>
    <w:rsid w:val="004E4B1E"/>
    <w:rsid w:val="004E60DC"/>
    <w:rsid w:val="00531515"/>
    <w:rsid w:val="005D68C9"/>
    <w:rsid w:val="005D7F2A"/>
    <w:rsid w:val="005E746B"/>
    <w:rsid w:val="005F0288"/>
    <w:rsid w:val="00607019"/>
    <w:rsid w:val="006713F2"/>
    <w:rsid w:val="00693C93"/>
    <w:rsid w:val="00694A5B"/>
    <w:rsid w:val="00700032"/>
    <w:rsid w:val="007026A0"/>
    <w:rsid w:val="00720394"/>
    <w:rsid w:val="00721F4E"/>
    <w:rsid w:val="00725634"/>
    <w:rsid w:val="00735141"/>
    <w:rsid w:val="00757418"/>
    <w:rsid w:val="007B7227"/>
    <w:rsid w:val="008163E5"/>
    <w:rsid w:val="00823BB6"/>
    <w:rsid w:val="0084403E"/>
    <w:rsid w:val="008A3451"/>
    <w:rsid w:val="008B1333"/>
    <w:rsid w:val="008B37A4"/>
    <w:rsid w:val="008C72C0"/>
    <w:rsid w:val="008C7DC8"/>
    <w:rsid w:val="008E238E"/>
    <w:rsid w:val="00924B9E"/>
    <w:rsid w:val="00930591"/>
    <w:rsid w:val="009A284A"/>
    <w:rsid w:val="009C12F1"/>
    <w:rsid w:val="009D0A04"/>
    <w:rsid w:val="009D521F"/>
    <w:rsid w:val="00A17336"/>
    <w:rsid w:val="00A17EF5"/>
    <w:rsid w:val="00A27960"/>
    <w:rsid w:val="00A51135"/>
    <w:rsid w:val="00A747BA"/>
    <w:rsid w:val="00AE4F6D"/>
    <w:rsid w:val="00B07594"/>
    <w:rsid w:val="00B13EAD"/>
    <w:rsid w:val="00B17445"/>
    <w:rsid w:val="00B36224"/>
    <w:rsid w:val="00B56817"/>
    <w:rsid w:val="00BD4ED8"/>
    <w:rsid w:val="00BF1F00"/>
    <w:rsid w:val="00C128E8"/>
    <w:rsid w:val="00C36D6E"/>
    <w:rsid w:val="00C60174"/>
    <w:rsid w:val="00C729CD"/>
    <w:rsid w:val="00C76B0C"/>
    <w:rsid w:val="00C935C9"/>
    <w:rsid w:val="00CE5B42"/>
    <w:rsid w:val="00CE72AC"/>
    <w:rsid w:val="00D14AB7"/>
    <w:rsid w:val="00DD326C"/>
    <w:rsid w:val="00DF69A7"/>
    <w:rsid w:val="00E52340"/>
    <w:rsid w:val="00E62BD8"/>
    <w:rsid w:val="00E65180"/>
    <w:rsid w:val="00E8243A"/>
    <w:rsid w:val="00F02514"/>
    <w:rsid w:val="00F901CD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A652"/>
  <w15:docId w15:val="{7AA7321A-5211-480E-8C5A-95E4DD83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3E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6D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E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E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D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35141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4">
    <w:name w:val="Основной текст с отступом Знак"/>
    <w:basedOn w:val="a0"/>
    <w:link w:val="a3"/>
    <w:semiHidden/>
    <w:rsid w:val="00735141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5">
    <w:name w:val="List Paragraph"/>
    <w:basedOn w:val="a"/>
    <w:uiPriority w:val="34"/>
    <w:qFormat/>
    <w:rsid w:val="004E4B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6D6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6">
    <w:name w:val="Normal (Web)"/>
    <w:basedOn w:val="a"/>
    <w:uiPriority w:val="99"/>
    <w:unhideWhenUsed/>
    <w:rsid w:val="00C36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13E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B13EA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D5E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D5E7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8">
    <w:name w:val="Unresolved Mention"/>
    <w:basedOn w:val="a0"/>
    <w:uiPriority w:val="99"/>
    <w:semiHidden/>
    <w:unhideWhenUsed/>
    <w:rsid w:val="004572D0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055D6A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9">
    <w:name w:val="FollowedHyperlink"/>
    <w:basedOn w:val="a0"/>
    <w:uiPriority w:val="99"/>
    <w:semiHidden/>
    <w:unhideWhenUsed/>
    <w:rsid w:val="00C60174"/>
    <w:rPr>
      <w:color w:val="800080" w:themeColor="followedHyperlink"/>
      <w:u w:val="single"/>
    </w:rPr>
  </w:style>
  <w:style w:type="paragraph" w:customStyle="1" w:styleId="aa">
    <w:name w:val="Нормальний текст"/>
    <w:basedOn w:val="a"/>
    <w:rsid w:val="001204E8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b">
    <w:name w:val="Emphasis"/>
    <w:basedOn w:val="a0"/>
    <w:uiPriority w:val="20"/>
    <w:qFormat/>
    <w:rsid w:val="001204E8"/>
    <w:rPr>
      <w:i/>
      <w:iCs/>
    </w:rPr>
  </w:style>
  <w:style w:type="paragraph" w:styleId="ac">
    <w:name w:val="Body Text"/>
    <w:basedOn w:val="a"/>
    <w:link w:val="ad"/>
    <w:uiPriority w:val="99"/>
    <w:semiHidden/>
    <w:unhideWhenUsed/>
    <w:rsid w:val="00F0251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02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091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35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0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go/564-2022-%D0%BF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768-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768-14#Tex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5117D-9B05-487F-9A85-0DA7718E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1047</Words>
  <Characters>5971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UserOk</cp:lastModifiedBy>
  <cp:revision>2</cp:revision>
  <dcterms:created xsi:type="dcterms:W3CDTF">2025-11-21T08:37:00Z</dcterms:created>
  <dcterms:modified xsi:type="dcterms:W3CDTF">2025-11-21T08:37:00Z</dcterms:modified>
</cp:coreProperties>
</file>