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D775B" w14:textId="02CBB031" w:rsidR="009B3629" w:rsidRDefault="009B3629" w:rsidP="00A82B7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B3629">
        <w:rPr>
          <w:rFonts w:ascii="Times New Roman" w:hAnsi="Times New Roman" w:cs="Times New Roman"/>
          <w:b/>
          <w:bCs/>
          <w:sz w:val="20"/>
          <w:szCs w:val="20"/>
        </w:rPr>
        <w:t>УДК 691.32:620.17:004.85</w:t>
      </w:r>
    </w:p>
    <w:p w14:paraId="5B32EB8A" w14:textId="77777777" w:rsidR="00A82B7A" w:rsidRPr="009B3629" w:rsidRDefault="00A82B7A" w:rsidP="00A82B7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18A4F1" w14:textId="7E74B6F5" w:rsidR="009B3629" w:rsidRDefault="009B3629" w:rsidP="00A82B7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3629">
        <w:rPr>
          <w:rFonts w:ascii="Times New Roman" w:hAnsi="Times New Roman" w:cs="Times New Roman"/>
          <w:b/>
          <w:bCs/>
          <w:sz w:val="20"/>
          <w:szCs w:val="20"/>
        </w:rPr>
        <w:t>Порівняльний аналіз моделей машинного навчання для прогнозування міцності бетону</w:t>
      </w:r>
    </w:p>
    <w:p w14:paraId="5E9BD042" w14:textId="77777777" w:rsidR="00FF634B" w:rsidRDefault="00FF634B" w:rsidP="00A82B7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6AE8DF" w14:textId="77777777" w:rsidR="00FF634B" w:rsidRDefault="00FF634B" w:rsidP="00FF634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Comparative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Analysis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Machine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Learning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Models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Predicting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Concrete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Compressive</w:t>
      </w:r>
      <w:proofErr w:type="spellEnd"/>
      <w:r w:rsidRPr="005C09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C0985">
        <w:rPr>
          <w:rFonts w:ascii="Times New Roman" w:hAnsi="Times New Roman" w:cs="Times New Roman"/>
          <w:b/>
          <w:bCs/>
          <w:sz w:val="20"/>
          <w:szCs w:val="20"/>
        </w:rPr>
        <w:t>Strength</w:t>
      </w:r>
      <w:proofErr w:type="spellEnd"/>
    </w:p>
    <w:p w14:paraId="7B957C95" w14:textId="77777777" w:rsidR="00A82B7A" w:rsidRPr="009B3629" w:rsidRDefault="00A82B7A" w:rsidP="00A82B7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8936F1" w14:textId="49D663E0" w:rsidR="00CD1E51" w:rsidRPr="00090873" w:rsidRDefault="00FF634B" w:rsidP="00CD1E5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0873">
        <w:rPr>
          <w:rFonts w:ascii="Times New Roman" w:hAnsi="Times New Roman" w:cs="Times New Roman"/>
          <w:b/>
          <w:bCs/>
          <w:sz w:val="20"/>
          <w:szCs w:val="20"/>
        </w:rPr>
        <w:t xml:space="preserve">Н.Р. </w:t>
      </w:r>
      <w:proofErr w:type="spellStart"/>
      <w:r w:rsidR="00CD1E51" w:rsidRPr="00090873">
        <w:rPr>
          <w:rFonts w:ascii="Times New Roman" w:hAnsi="Times New Roman" w:cs="Times New Roman"/>
          <w:b/>
          <w:bCs/>
          <w:sz w:val="20"/>
          <w:szCs w:val="20"/>
        </w:rPr>
        <w:t>Печончик</w:t>
      </w:r>
      <w:proofErr w:type="spellEnd"/>
      <w:r w:rsidR="00CD1E51" w:rsidRPr="00090873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090873">
        <w:rPr>
          <w:rFonts w:ascii="Times New Roman" w:hAnsi="Times New Roman" w:cs="Times New Roman"/>
          <w:b/>
          <w:bCs/>
          <w:sz w:val="20"/>
          <w:szCs w:val="20"/>
        </w:rPr>
        <w:t xml:space="preserve"> (Луцький національний технічний університет), О.С. </w:t>
      </w:r>
      <w:r w:rsidR="00CD1E51" w:rsidRPr="00090873">
        <w:rPr>
          <w:rFonts w:ascii="Times New Roman" w:hAnsi="Times New Roman" w:cs="Times New Roman"/>
          <w:b/>
          <w:bCs/>
          <w:sz w:val="20"/>
          <w:szCs w:val="20"/>
        </w:rPr>
        <w:t xml:space="preserve">Приходько, </w:t>
      </w:r>
      <w:proofErr w:type="spellStart"/>
      <w:r w:rsidR="00CD1E51" w:rsidRPr="00090873">
        <w:rPr>
          <w:rFonts w:ascii="Times New Roman" w:hAnsi="Times New Roman" w:cs="Times New Roman"/>
          <w:b/>
          <w:bCs/>
          <w:sz w:val="20"/>
          <w:szCs w:val="20"/>
        </w:rPr>
        <w:t>к.т.н</w:t>
      </w:r>
      <w:proofErr w:type="spellEnd"/>
      <w:r w:rsidR="00CD1E51" w:rsidRPr="00090873">
        <w:rPr>
          <w:rFonts w:ascii="Times New Roman" w:hAnsi="Times New Roman" w:cs="Times New Roman"/>
          <w:b/>
          <w:bCs/>
          <w:sz w:val="20"/>
          <w:szCs w:val="20"/>
        </w:rPr>
        <w:t xml:space="preserve">., доцент, </w:t>
      </w:r>
      <w:r w:rsidRPr="00090873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університет).</w:t>
      </w:r>
    </w:p>
    <w:p w14:paraId="7ACBEE32" w14:textId="77777777" w:rsidR="00FF634B" w:rsidRPr="00090873" w:rsidRDefault="00FF634B" w:rsidP="00CD1E5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A0D167" w14:textId="0BAE3B39" w:rsidR="00FF634B" w:rsidRPr="00090873" w:rsidRDefault="00FF634B" w:rsidP="00FF634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N.</w:t>
      </w:r>
      <w:r w:rsidR="00E261AB"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R.</w:t>
      </w:r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Pechonchyk</w:t>
      </w:r>
      <w:proofErr w:type="spellEnd"/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r w:rsidRPr="0009087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Lutsk national technical university)</w:t>
      </w:r>
      <w:r w:rsidRPr="0009087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O.</w:t>
      </w:r>
      <w:r w:rsidR="00E261AB"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S.</w:t>
      </w:r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Prykhodko</w:t>
      </w:r>
      <w:proofErr w:type="spellEnd"/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Ph.D. Associate Professor, </w:t>
      </w:r>
      <w:r w:rsidRPr="00090873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090873">
        <w:rPr>
          <w:rFonts w:ascii="Times New Roman" w:hAnsi="Times New Roman" w:cs="Times New Roman"/>
          <w:b/>
          <w:bCs/>
          <w:sz w:val="20"/>
          <w:szCs w:val="20"/>
          <w:lang w:val="en-US"/>
        </w:rPr>
        <w:t>Lutsk national technical university)</w:t>
      </w:r>
    </w:p>
    <w:p w14:paraId="1EFA6CEA" w14:textId="77777777" w:rsidR="00FF634B" w:rsidRPr="005C0985" w:rsidRDefault="00FF634B" w:rsidP="00FF634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E05181F" w14:textId="5A9FCE33" w:rsidR="009B3629" w:rsidRPr="00090873" w:rsidRDefault="009B3629" w:rsidP="00A82B7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У роботі досліджено ефективність застосування моделей машинного навчання різної складності для прогнозування міцності бетону на стиск на основі його компонентного складу. Встановлено, що ансамблеві моделі демонструють найкращий баланс точності та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інтерпретованості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>. На основі регресійного аналізу було виведено емпіричну формулу для експрес-оцінки міцності.</w:t>
      </w:r>
    </w:p>
    <w:p w14:paraId="73DEF782" w14:textId="77777777" w:rsidR="005C0985" w:rsidRPr="00090873" w:rsidRDefault="005C0985" w:rsidP="00A82B7A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2EB13D5" w14:textId="7B16304F" w:rsidR="005C0985" w:rsidRPr="00090873" w:rsidRDefault="00FF634B" w:rsidP="005C098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This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paper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investigates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effectiveness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of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applying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machine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learning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models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of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varying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complexity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to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predict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compressive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strength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of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concrete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based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on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its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component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composition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0578A4" w:rsidRPr="00090873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It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was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found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that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ensemble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models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demonstrate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the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best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balance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between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accuracy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and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interpretability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Based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on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regression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analysis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an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empirical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formula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was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derived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for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rapid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strength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090873">
        <w:rPr>
          <w:rFonts w:ascii="Times New Roman" w:hAnsi="Times New Roman" w:cs="Times New Roman"/>
          <w:i/>
          <w:iCs/>
          <w:sz w:val="18"/>
          <w:szCs w:val="18"/>
        </w:rPr>
        <w:t>estimation</w:t>
      </w:r>
      <w:proofErr w:type="spellEnd"/>
      <w:r w:rsidRPr="00090873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09FD51EB" w14:textId="77777777" w:rsidR="00A82B7A" w:rsidRPr="009B3629" w:rsidRDefault="00A82B7A" w:rsidP="00A82B7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A446DF0" w14:textId="72E9CA79" w:rsidR="004B538F" w:rsidRPr="004B538F" w:rsidRDefault="004B538F" w:rsidP="00A82B7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538F">
        <w:rPr>
          <w:rFonts w:ascii="Times New Roman" w:hAnsi="Times New Roman" w:cs="Times New Roman"/>
          <w:sz w:val="20"/>
          <w:szCs w:val="20"/>
        </w:rPr>
        <w:t xml:space="preserve">Задача прогнозування міцності бетону за його складом є класичною еталонною проблемою, яку широко використовують для тестування регресійних алгоритмів. У працях [1–4] цей приклад застосовують для демонстрації просунутих методів, спрямованих не лише на точність прогнозу, а й на підвищення надійності та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інтерпретованості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 моделей.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B538F">
        <w:rPr>
          <w:rFonts w:ascii="Times New Roman" w:hAnsi="Times New Roman" w:cs="Times New Roman"/>
          <w:sz w:val="20"/>
          <w:szCs w:val="20"/>
        </w:rPr>
        <w:t xml:space="preserve">Так, у [1] запропоновано об’єднання інтервальних прогнозів, що дозволяє оцінювати довірчі інтервали значень. У [2] представлено архітектуру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SelectiveNet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, яка може відмовлятися від прогнозу за низької впевненості моделі </w:t>
      </w:r>
      <w:r w:rsidR="005C0985">
        <w:rPr>
          <w:rFonts w:ascii="Times New Roman" w:hAnsi="Times New Roman" w:cs="Times New Roman"/>
          <w:sz w:val="20"/>
          <w:szCs w:val="20"/>
        </w:rPr>
        <w:t>–</w:t>
      </w:r>
      <w:r w:rsidRPr="004B538F">
        <w:rPr>
          <w:rFonts w:ascii="Times New Roman" w:hAnsi="Times New Roman" w:cs="Times New Roman"/>
          <w:sz w:val="20"/>
          <w:szCs w:val="20"/>
        </w:rPr>
        <w:t xml:space="preserve"> важлива властивість для інженерних застосувань. У [3] показано, як ансамблеві методи (зокрема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бустинг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 на деревах рішень) інтегруються в задачі нелінійної оптимізації, а в [4] досліджуються методи автоматичного пошуку математичних виразів, що описують дані.</w:t>
      </w:r>
      <w:r w:rsidR="00A82B7A">
        <w:rPr>
          <w:rFonts w:ascii="Times New Roman" w:hAnsi="Times New Roman" w:cs="Times New Roman"/>
          <w:sz w:val="20"/>
          <w:szCs w:val="20"/>
        </w:rPr>
        <w:t xml:space="preserve"> </w:t>
      </w:r>
      <w:r w:rsidRPr="004B538F">
        <w:rPr>
          <w:rFonts w:ascii="Times New Roman" w:hAnsi="Times New Roman" w:cs="Times New Roman"/>
          <w:sz w:val="20"/>
          <w:szCs w:val="20"/>
        </w:rPr>
        <w:t xml:space="preserve">Таким чином, попри вирішеність базової задачі прогнозування міцності, актуальними </w:t>
      </w:r>
      <w:r w:rsidRPr="004B538F">
        <w:rPr>
          <w:rFonts w:ascii="Times New Roman" w:hAnsi="Times New Roman" w:cs="Times New Roman"/>
          <w:sz w:val="20"/>
          <w:szCs w:val="20"/>
        </w:rPr>
        <w:lastRenderedPageBreak/>
        <w:t xml:space="preserve">залишаються напрями підвищення надійності,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інтерпретованості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 та практичної інтеграції моделей.</w:t>
      </w:r>
    </w:p>
    <w:p w14:paraId="614D9319" w14:textId="2F9936FB" w:rsidR="009062FB" w:rsidRDefault="004B538F" w:rsidP="009062F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538F">
        <w:rPr>
          <w:rFonts w:ascii="Times New Roman" w:hAnsi="Times New Roman" w:cs="Times New Roman"/>
          <w:sz w:val="20"/>
          <w:szCs w:val="20"/>
        </w:rPr>
        <w:t xml:space="preserve">У дослідженні використано відкритий набір даних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Concrete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Compressive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38F">
        <w:rPr>
          <w:rFonts w:ascii="Times New Roman" w:hAnsi="Times New Roman" w:cs="Times New Roman"/>
          <w:sz w:val="20"/>
          <w:szCs w:val="20"/>
        </w:rPr>
        <w:t>Strength</w:t>
      </w:r>
      <w:proofErr w:type="spellEnd"/>
      <w:r w:rsidRPr="004B538F">
        <w:rPr>
          <w:rFonts w:ascii="Times New Roman" w:hAnsi="Times New Roman" w:cs="Times New Roman"/>
          <w:sz w:val="20"/>
          <w:szCs w:val="20"/>
        </w:rPr>
        <w:t xml:space="preserve"> з репозиторію UCI [5], який містить 1030 записів із вісьмома параметрами складу бетонної суміші та віком як вхідними ознаками, і міцністю на стиск (МПа) як цільовою змінною. Основною метрикою оцінки точності обрано MAE</w:t>
      </w:r>
      <w:r w:rsidR="003A4D48">
        <w:rPr>
          <w:rFonts w:ascii="Times New Roman" w:hAnsi="Times New Roman" w:cs="Times New Roman"/>
          <w:sz w:val="20"/>
          <w:szCs w:val="20"/>
        </w:rPr>
        <w:t xml:space="preserve"> (абсолютна похибка)</w:t>
      </w:r>
      <w:r w:rsidRPr="004B538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B538F">
        <w:rPr>
          <w:rFonts w:ascii="Times New Roman" w:hAnsi="Times New Roman" w:cs="Times New Roman"/>
          <w:sz w:val="20"/>
          <w:szCs w:val="20"/>
        </w:rPr>
        <w:t>Для аналізу застосовано три групи моделей:</w:t>
      </w:r>
      <w:r w:rsidR="00FF634B">
        <w:rPr>
          <w:rFonts w:ascii="Times New Roman" w:hAnsi="Times New Roman" w:cs="Times New Roman"/>
          <w:sz w:val="20"/>
          <w:szCs w:val="20"/>
        </w:rPr>
        <w:t xml:space="preserve"> л</w:t>
      </w:r>
      <w:r w:rsidRPr="00B35085">
        <w:rPr>
          <w:rFonts w:ascii="Times New Roman" w:hAnsi="Times New Roman" w:cs="Times New Roman"/>
          <w:sz w:val="20"/>
          <w:szCs w:val="20"/>
        </w:rPr>
        <w:t>інійна та поліноміальна регресія</w:t>
      </w:r>
      <w:r w:rsidR="00FF634B">
        <w:rPr>
          <w:rFonts w:ascii="Times New Roman" w:hAnsi="Times New Roman" w:cs="Times New Roman"/>
          <w:sz w:val="20"/>
          <w:szCs w:val="20"/>
        </w:rPr>
        <w:t>, н</w:t>
      </w:r>
      <w:r w:rsidRPr="00B35085">
        <w:rPr>
          <w:rFonts w:ascii="Times New Roman" w:hAnsi="Times New Roman" w:cs="Times New Roman"/>
          <w:sz w:val="20"/>
          <w:szCs w:val="20"/>
        </w:rPr>
        <w:t>ейронні мережі з 2–7 прихованими шарами;</w:t>
      </w:r>
      <w:r w:rsidR="00FF634B">
        <w:rPr>
          <w:rFonts w:ascii="Times New Roman" w:hAnsi="Times New Roman" w:cs="Times New Roman"/>
          <w:sz w:val="20"/>
          <w:szCs w:val="20"/>
        </w:rPr>
        <w:t xml:space="preserve"> модель машинного навчання </w:t>
      </w:r>
      <w:proofErr w:type="spellStart"/>
      <w:r w:rsidRPr="00B35085">
        <w:rPr>
          <w:rFonts w:ascii="Times New Roman" w:hAnsi="Times New Roman" w:cs="Times New Roman"/>
          <w:sz w:val="20"/>
          <w:szCs w:val="20"/>
        </w:rPr>
        <w:t>RandomForest</w:t>
      </w:r>
      <w:proofErr w:type="spellEnd"/>
      <w:r w:rsidRPr="00B35085">
        <w:rPr>
          <w:rFonts w:ascii="Times New Roman" w:hAnsi="Times New Roman" w:cs="Times New Roman"/>
          <w:sz w:val="20"/>
          <w:szCs w:val="20"/>
        </w:rPr>
        <w:t>.</w:t>
      </w:r>
      <w:r w:rsidR="00FF634B">
        <w:rPr>
          <w:rFonts w:ascii="Times New Roman" w:hAnsi="Times New Roman" w:cs="Times New Roman"/>
          <w:sz w:val="20"/>
          <w:szCs w:val="20"/>
        </w:rPr>
        <w:t xml:space="preserve"> </w:t>
      </w:r>
      <w:r w:rsidR="009B3629" w:rsidRPr="009B3629">
        <w:rPr>
          <w:rFonts w:ascii="Times New Roman" w:hAnsi="Times New Roman" w:cs="Times New Roman"/>
          <w:sz w:val="20"/>
          <w:szCs w:val="20"/>
        </w:rPr>
        <w:t xml:space="preserve">Проведений порівняльний аналіз показав суттєву різницю в ефективності досліджуваних моделей. </w:t>
      </w:r>
      <w:r w:rsidR="009062FB" w:rsidRPr="009B3629">
        <w:rPr>
          <w:rFonts w:ascii="Times New Roman" w:hAnsi="Times New Roman" w:cs="Times New Roman"/>
          <w:sz w:val="20"/>
          <w:szCs w:val="20"/>
        </w:rPr>
        <w:t>Узагальнені результати точності всіх розглянутих моделей наведено у порівняльній таблиці</w:t>
      </w:r>
      <w:r w:rsidR="009062FB">
        <w:rPr>
          <w:rFonts w:ascii="Times New Roman" w:hAnsi="Times New Roman" w:cs="Times New Roman"/>
          <w:sz w:val="20"/>
          <w:szCs w:val="20"/>
        </w:rPr>
        <w:t xml:space="preserve"> 1</w:t>
      </w:r>
      <w:r w:rsidR="009062FB" w:rsidRPr="009B3629">
        <w:rPr>
          <w:rFonts w:ascii="Times New Roman" w:hAnsi="Times New Roman" w:cs="Times New Roman"/>
          <w:sz w:val="20"/>
          <w:szCs w:val="20"/>
        </w:rPr>
        <w:t>.</w:t>
      </w:r>
    </w:p>
    <w:p w14:paraId="7DB3A20F" w14:textId="77777777" w:rsidR="003A4D48" w:rsidRDefault="003A4D48" w:rsidP="009062F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1A7D245" w14:textId="669854FA" w:rsidR="003A4D48" w:rsidRDefault="003A4D48" w:rsidP="005C0985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Таблиця 1. Результати порівняльного аналізу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2631"/>
      </w:tblGrid>
      <w:tr w:rsidR="003A4D48" w14:paraId="39E79FFC" w14:textId="77777777" w:rsidTr="00545012">
        <w:tc>
          <w:tcPr>
            <w:tcW w:w="3823" w:type="dxa"/>
          </w:tcPr>
          <w:p w14:paraId="65B31D1D" w14:textId="12A5C6FB" w:rsidR="003A4D48" w:rsidRDefault="003A4D48" w:rsidP="003A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 машинного навчання</w:t>
            </w:r>
          </w:p>
        </w:tc>
        <w:tc>
          <w:tcPr>
            <w:tcW w:w="2631" w:type="dxa"/>
          </w:tcPr>
          <w:p w14:paraId="2370CFFB" w14:textId="6FC51E09" w:rsidR="003A4D48" w:rsidRDefault="003A4D48" w:rsidP="003A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МАЕ</w:t>
            </w:r>
            <w:r w:rsidR="00545012">
              <w:rPr>
                <w:rFonts w:ascii="Times New Roman" w:hAnsi="Times New Roman" w:cs="Times New Roman"/>
                <w:sz w:val="20"/>
                <w:szCs w:val="20"/>
              </w:rPr>
              <w:t>, МПа</w:t>
            </w:r>
          </w:p>
        </w:tc>
      </w:tr>
      <w:tr w:rsidR="003A4D48" w14:paraId="2588428C" w14:textId="77777777" w:rsidTr="00545012">
        <w:tc>
          <w:tcPr>
            <w:tcW w:w="3823" w:type="dxa"/>
          </w:tcPr>
          <w:p w14:paraId="05F14B2F" w14:textId="2208762F" w:rsidR="003A4D48" w:rsidRDefault="003A4D48" w:rsidP="009062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Лінійна регресія</w:t>
            </w:r>
          </w:p>
        </w:tc>
        <w:tc>
          <w:tcPr>
            <w:tcW w:w="2631" w:type="dxa"/>
          </w:tcPr>
          <w:p w14:paraId="14DE0C3D" w14:textId="6F045D93" w:rsidR="003A4D48" w:rsidRDefault="00545012" w:rsidP="00545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629">
              <w:rPr>
                <w:rFonts w:ascii="Times New Roman" w:hAnsi="Times New Roman" w:cs="Times New Roman"/>
                <w:sz w:val="20"/>
                <w:szCs w:val="20"/>
              </w:rPr>
              <w:t>7.46</w:t>
            </w:r>
          </w:p>
        </w:tc>
      </w:tr>
      <w:tr w:rsidR="003A4D48" w14:paraId="3DD8EE22" w14:textId="77777777" w:rsidTr="00545012">
        <w:tc>
          <w:tcPr>
            <w:tcW w:w="3823" w:type="dxa"/>
          </w:tcPr>
          <w:p w14:paraId="776DCC26" w14:textId="600E25D2" w:rsidR="003A4D48" w:rsidRDefault="003A4D48" w:rsidP="009062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Поліноміальна регресія</w:t>
            </w:r>
          </w:p>
        </w:tc>
        <w:tc>
          <w:tcPr>
            <w:tcW w:w="2631" w:type="dxa"/>
          </w:tcPr>
          <w:p w14:paraId="4A3DBF19" w14:textId="0B53F7DB" w:rsidR="003A4D48" w:rsidRDefault="00545012" w:rsidP="00545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5,97</w:t>
            </w:r>
          </w:p>
        </w:tc>
      </w:tr>
      <w:tr w:rsidR="003A4D48" w14:paraId="647103FA" w14:textId="77777777" w:rsidTr="00545012">
        <w:tc>
          <w:tcPr>
            <w:tcW w:w="3823" w:type="dxa"/>
          </w:tcPr>
          <w:p w14:paraId="591BF46B" w14:textId="7DFBC8FB" w:rsidR="003A4D48" w:rsidRDefault="003A4D48" w:rsidP="009062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Нейронна мережа 2 шари по 1</w:t>
            </w:r>
            <w:r w:rsidR="0054501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нейронів</w:t>
            </w:r>
          </w:p>
        </w:tc>
        <w:tc>
          <w:tcPr>
            <w:tcW w:w="2631" w:type="dxa"/>
          </w:tcPr>
          <w:p w14:paraId="207C87C3" w14:textId="726E9EE9" w:rsidR="003A4D48" w:rsidRDefault="00545012" w:rsidP="00545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A4D48" w14:paraId="05A0F603" w14:textId="77777777" w:rsidTr="00545012">
        <w:tc>
          <w:tcPr>
            <w:tcW w:w="3823" w:type="dxa"/>
          </w:tcPr>
          <w:p w14:paraId="7A9A40BE" w14:textId="3858132D" w:rsidR="003A4D48" w:rsidRDefault="003A4D48" w:rsidP="009062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Нейронна мережа 7 шарів по 256 нейронів</w:t>
            </w:r>
          </w:p>
        </w:tc>
        <w:tc>
          <w:tcPr>
            <w:tcW w:w="2631" w:type="dxa"/>
          </w:tcPr>
          <w:p w14:paraId="0AB2BA47" w14:textId="18D33F04" w:rsidR="003A4D48" w:rsidRDefault="00545012" w:rsidP="00545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A4D48" w14:paraId="1D9A4464" w14:textId="77777777" w:rsidTr="00545012">
        <w:tc>
          <w:tcPr>
            <w:tcW w:w="3823" w:type="dxa"/>
          </w:tcPr>
          <w:p w14:paraId="32513365" w14:textId="330DD731" w:rsidR="003A4D48" w:rsidRPr="00545012" w:rsidRDefault="00545012" w:rsidP="009062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RandomForest</w:t>
            </w:r>
            <w:proofErr w:type="spellEnd"/>
          </w:p>
        </w:tc>
        <w:tc>
          <w:tcPr>
            <w:tcW w:w="2631" w:type="dxa"/>
          </w:tcPr>
          <w:p w14:paraId="702D86D3" w14:textId="19B2B689" w:rsidR="003A4D48" w:rsidRDefault="00545012" w:rsidP="00545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</w:tr>
    </w:tbl>
    <w:p w14:paraId="2C71F562" w14:textId="77777777" w:rsidR="003A4D48" w:rsidRDefault="003A4D48" w:rsidP="009062F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29CC128" w14:textId="730A3B98" w:rsidR="009B3629" w:rsidRPr="009B3629" w:rsidRDefault="009B3629" w:rsidP="00A82B7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3629">
        <w:rPr>
          <w:rFonts w:ascii="Times New Roman" w:hAnsi="Times New Roman" w:cs="Times New Roman"/>
          <w:sz w:val="20"/>
          <w:szCs w:val="20"/>
        </w:rPr>
        <w:t>Як і очікувалось, проста лінійна регресія продемонструвала найнижчу точність (MAE = 7.46</w:t>
      </w:r>
      <w:r w:rsidR="00A82B7A">
        <w:rPr>
          <w:rFonts w:ascii="Times New Roman" w:hAnsi="Times New Roman" w:cs="Times New Roman"/>
          <w:sz w:val="20"/>
          <w:szCs w:val="20"/>
        </w:rPr>
        <w:t> </w:t>
      </w:r>
      <w:r w:rsidRPr="009B3629">
        <w:rPr>
          <w:rFonts w:ascii="Times New Roman" w:hAnsi="Times New Roman" w:cs="Times New Roman"/>
          <w:sz w:val="20"/>
          <w:szCs w:val="20"/>
        </w:rPr>
        <w:t xml:space="preserve">МПа), підтверджуючи нелінійний характер залежності міцності від складу. Врахування квадратичних </w:t>
      </w:r>
      <w:proofErr w:type="spellStart"/>
      <w:r w:rsidRPr="009B3629">
        <w:rPr>
          <w:rFonts w:ascii="Times New Roman" w:hAnsi="Times New Roman" w:cs="Times New Roman"/>
          <w:sz w:val="20"/>
          <w:szCs w:val="20"/>
        </w:rPr>
        <w:t>залежностей</w:t>
      </w:r>
      <w:proofErr w:type="spellEnd"/>
      <w:r w:rsidRPr="009B3629">
        <w:rPr>
          <w:rFonts w:ascii="Times New Roman" w:hAnsi="Times New Roman" w:cs="Times New Roman"/>
          <w:sz w:val="20"/>
          <w:szCs w:val="20"/>
        </w:rPr>
        <w:t xml:space="preserve"> у поліноміальній регресії дозволило покращити результат (MAE = 5.97</w:t>
      </w:r>
      <w:r w:rsidR="006911FE">
        <w:rPr>
          <w:rFonts w:ascii="Times New Roman" w:hAnsi="Times New Roman" w:cs="Times New Roman"/>
          <w:sz w:val="20"/>
          <w:szCs w:val="20"/>
        </w:rPr>
        <w:t> </w:t>
      </w:r>
      <w:r w:rsidRPr="009B3629">
        <w:rPr>
          <w:rFonts w:ascii="Times New Roman" w:hAnsi="Times New Roman" w:cs="Times New Roman"/>
          <w:sz w:val="20"/>
          <w:szCs w:val="20"/>
        </w:rPr>
        <w:t>МПа).</w:t>
      </w:r>
    </w:p>
    <w:p w14:paraId="579FAC02" w14:textId="77777777" w:rsidR="006911FE" w:rsidRDefault="009B3629" w:rsidP="006911F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3629">
        <w:rPr>
          <w:rFonts w:ascii="Times New Roman" w:hAnsi="Times New Roman" w:cs="Times New Roman"/>
          <w:sz w:val="20"/>
          <w:szCs w:val="20"/>
        </w:rPr>
        <w:t>Нейронні мережі показали високу прогнозну здатність, причому точність зростала зі збільшенням глибини архітектури: від MAE ≈ 4.3 МПа для двох шарів до пікового значення MAE ≈ 3.</w:t>
      </w:r>
      <w:r w:rsidR="00545012">
        <w:rPr>
          <w:rFonts w:ascii="Times New Roman" w:hAnsi="Times New Roman" w:cs="Times New Roman"/>
          <w:sz w:val="20"/>
          <w:szCs w:val="20"/>
        </w:rPr>
        <w:t>3</w:t>
      </w:r>
      <w:r w:rsidRPr="009B3629">
        <w:rPr>
          <w:rFonts w:ascii="Times New Roman" w:hAnsi="Times New Roman" w:cs="Times New Roman"/>
          <w:sz w:val="20"/>
          <w:szCs w:val="20"/>
        </w:rPr>
        <w:t xml:space="preserve"> МПа для </w:t>
      </w:r>
      <w:proofErr w:type="spellStart"/>
      <w:r w:rsidRPr="009B3629">
        <w:rPr>
          <w:rFonts w:ascii="Times New Roman" w:hAnsi="Times New Roman" w:cs="Times New Roman"/>
          <w:sz w:val="20"/>
          <w:szCs w:val="20"/>
        </w:rPr>
        <w:t>семишарової</w:t>
      </w:r>
      <w:proofErr w:type="spellEnd"/>
      <w:r w:rsidRPr="009B3629">
        <w:rPr>
          <w:rFonts w:ascii="Times New Roman" w:hAnsi="Times New Roman" w:cs="Times New Roman"/>
          <w:sz w:val="20"/>
          <w:szCs w:val="20"/>
        </w:rPr>
        <w:t xml:space="preserve"> мережі. </w:t>
      </w:r>
      <w:r w:rsidR="006911FE" w:rsidRPr="006911FE">
        <w:rPr>
          <w:rFonts w:ascii="Times New Roman" w:hAnsi="Times New Roman" w:cs="Times New Roman"/>
          <w:sz w:val="20"/>
          <w:szCs w:val="20"/>
        </w:rPr>
        <w:t xml:space="preserve">Однак було відзначено, що результати </w:t>
      </w:r>
      <w:proofErr w:type="spellStart"/>
      <w:r w:rsidR="006911FE" w:rsidRPr="006911FE">
        <w:rPr>
          <w:rFonts w:ascii="Times New Roman" w:hAnsi="Times New Roman" w:cs="Times New Roman"/>
          <w:sz w:val="20"/>
          <w:szCs w:val="20"/>
        </w:rPr>
        <w:t>нейромережевих</w:t>
      </w:r>
      <w:proofErr w:type="spellEnd"/>
      <w:r w:rsidR="006911FE" w:rsidRPr="006911FE">
        <w:rPr>
          <w:rFonts w:ascii="Times New Roman" w:hAnsi="Times New Roman" w:cs="Times New Roman"/>
          <w:sz w:val="20"/>
          <w:szCs w:val="20"/>
        </w:rPr>
        <w:t xml:space="preserve"> моделей є нестабільними та залежать від випадкової ініціалізації ваг, а самі моделі виступають своєрідними «чорними скриньками», що ускладнює їх інтерпретацію. </w:t>
      </w:r>
    </w:p>
    <w:p w14:paraId="0B87126B" w14:textId="3622BB0C" w:rsidR="006911FE" w:rsidRDefault="006911FE" w:rsidP="006911F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911FE">
        <w:rPr>
          <w:rFonts w:ascii="Times New Roman" w:hAnsi="Times New Roman" w:cs="Times New Roman"/>
          <w:sz w:val="20"/>
          <w:szCs w:val="20"/>
        </w:rPr>
        <w:t xml:space="preserve">На противагу цьому, на основі </w:t>
      </w:r>
      <w:proofErr w:type="spellStart"/>
      <w:r w:rsidRPr="006911FE">
        <w:rPr>
          <w:rFonts w:ascii="Times New Roman" w:hAnsi="Times New Roman" w:cs="Times New Roman"/>
          <w:sz w:val="20"/>
          <w:szCs w:val="20"/>
        </w:rPr>
        <w:t>датасету</w:t>
      </w:r>
      <w:proofErr w:type="spellEnd"/>
      <w:r w:rsidRPr="006911FE">
        <w:rPr>
          <w:rFonts w:ascii="Times New Roman" w:hAnsi="Times New Roman" w:cs="Times New Roman"/>
          <w:sz w:val="20"/>
          <w:szCs w:val="20"/>
        </w:rPr>
        <w:t xml:space="preserve"> [5] було побудовано емпіричну степеневу формулу для визначення міцності на стиск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σ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М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>:</w:t>
      </w:r>
    </w:p>
    <w:p w14:paraId="6D6E7DD1" w14:textId="77777777" w:rsidR="00E261AB" w:rsidRPr="009B3629" w:rsidRDefault="00E261AB" w:rsidP="006911F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7DA4213" w14:textId="77777777" w:rsidR="006911FE" w:rsidRPr="00B76762" w:rsidRDefault="00090873" w:rsidP="006911F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=257,2635</m:t>
          </m:r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-0.9702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0.774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0.3109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bf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0.0659</m:t>
                  </m:r>
                </m:sup>
              </m:sSup>
            </m:e>
          </m:d>
          <m:r>
            <w:rPr>
              <w:rFonts w:ascii="Cambria Math" w:hAnsi="Cambria Math" w:cs="Times New Roman"/>
              <w:sz w:val="20"/>
              <w:szCs w:val="20"/>
            </w:rPr>
            <m:t>×</m:t>
          </m:r>
        </m:oMath>
      </m:oMathPara>
    </w:p>
    <w:p w14:paraId="6B25BD60" w14:textId="1D4843FB" w:rsidR="006911FE" w:rsidRPr="00090873" w:rsidRDefault="006911FE" w:rsidP="006911FE">
      <w:pPr>
        <w:spacing w:after="0"/>
        <w:ind w:firstLine="567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×(1+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0.0217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)(1+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sp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0.0715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)(1+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fa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-0.3776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)(1+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ca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-0.0272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)</m:t>
        </m:r>
      </m:oMath>
      <w:r w:rsidRPr="00090873">
        <w:rPr>
          <w:rFonts w:ascii="Times New Roman" w:eastAsiaTheme="minorEastAsia" w:hAnsi="Times New Roman" w:cs="Times New Roman"/>
          <w:i/>
          <w:sz w:val="20"/>
          <w:szCs w:val="20"/>
        </w:rPr>
        <w:t>.</w:t>
      </w:r>
    </w:p>
    <w:p w14:paraId="7864C2A1" w14:textId="77777777" w:rsidR="000578A4" w:rsidRPr="00090873" w:rsidRDefault="000578A4" w:rsidP="006911FE">
      <w:pPr>
        <w:spacing w:after="0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FC347C7" w14:textId="77777777" w:rsidR="006911FE" w:rsidRPr="00090873" w:rsidRDefault="006911FE" w:rsidP="006911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4D48">
        <w:rPr>
          <w:rFonts w:ascii="Times New Roman" w:hAnsi="Times New Roman" w:cs="Times New Roman"/>
          <w:sz w:val="20"/>
          <w:szCs w:val="20"/>
        </w:rPr>
        <w:t xml:space="preserve">Тут a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A4D48">
        <w:rPr>
          <w:rFonts w:ascii="Times New Roman" w:hAnsi="Times New Roman" w:cs="Times New Roman"/>
          <w:sz w:val="20"/>
          <w:szCs w:val="20"/>
        </w:rPr>
        <w:t xml:space="preserve"> час тверднення бетону, днів; w, c, </w:t>
      </w:r>
      <w:proofErr w:type="spellStart"/>
      <w:r w:rsidRPr="003A4D48">
        <w:rPr>
          <w:rFonts w:ascii="Times New Roman" w:hAnsi="Times New Roman" w:cs="Times New Roman"/>
          <w:sz w:val="20"/>
          <w:szCs w:val="20"/>
        </w:rPr>
        <w:t>bf</w:t>
      </w:r>
      <w:proofErr w:type="spellEnd"/>
      <w:r w:rsidRPr="003A4D48">
        <w:rPr>
          <w:rFonts w:ascii="Times New Roman" w:hAnsi="Times New Roman" w:cs="Times New Roman"/>
          <w:sz w:val="20"/>
          <w:szCs w:val="20"/>
        </w:rPr>
        <w:t xml:space="preserve">, f, </w:t>
      </w:r>
      <w:proofErr w:type="spellStart"/>
      <w:r w:rsidRPr="003A4D48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Pr="003A4D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4D48">
        <w:rPr>
          <w:rFonts w:ascii="Times New Roman" w:hAnsi="Times New Roman" w:cs="Times New Roman"/>
          <w:sz w:val="20"/>
          <w:szCs w:val="20"/>
        </w:rPr>
        <w:t>fa</w:t>
      </w:r>
      <w:proofErr w:type="spellEnd"/>
      <w:r w:rsidRPr="003A4D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4D48">
        <w:rPr>
          <w:rFonts w:ascii="Times New Roman" w:hAnsi="Times New Roman" w:cs="Times New Roman"/>
          <w:sz w:val="20"/>
          <w:szCs w:val="20"/>
        </w:rPr>
        <w:t>ca</w:t>
      </w:r>
      <w:proofErr w:type="spellEnd"/>
      <w:r w:rsidRPr="003A4D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A4D48">
        <w:rPr>
          <w:rFonts w:ascii="Times New Roman" w:hAnsi="Times New Roman" w:cs="Times New Roman"/>
          <w:sz w:val="20"/>
          <w:szCs w:val="20"/>
        </w:rPr>
        <w:t xml:space="preserve"> маса компонентів бетонної суміші в 1 м³ бетону</w:t>
      </w:r>
      <w:r>
        <w:rPr>
          <w:rFonts w:ascii="Times New Roman" w:hAnsi="Times New Roman" w:cs="Times New Roman"/>
          <w:sz w:val="20"/>
          <w:szCs w:val="20"/>
        </w:rPr>
        <w:t>, кг</w:t>
      </w:r>
      <w:r w:rsidRPr="003A4D48">
        <w:rPr>
          <w:rFonts w:ascii="Times New Roman" w:hAnsi="Times New Roman" w:cs="Times New Roman"/>
          <w:sz w:val="20"/>
          <w:szCs w:val="20"/>
        </w:rPr>
        <w:t xml:space="preserve">: води, цементу, гранульованого доменного </w:t>
      </w:r>
      <w:r w:rsidRPr="003A4D48">
        <w:rPr>
          <w:rFonts w:ascii="Times New Roman" w:hAnsi="Times New Roman" w:cs="Times New Roman"/>
          <w:sz w:val="20"/>
          <w:szCs w:val="20"/>
        </w:rPr>
        <w:lastRenderedPageBreak/>
        <w:t xml:space="preserve">шлаку, золи-виносу, </w:t>
      </w:r>
      <w:proofErr w:type="spellStart"/>
      <w:r w:rsidRPr="003A4D48">
        <w:rPr>
          <w:rFonts w:ascii="Times New Roman" w:hAnsi="Times New Roman" w:cs="Times New Roman"/>
          <w:sz w:val="20"/>
          <w:szCs w:val="20"/>
        </w:rPr>
        <w:t>суперпластифікатора</w:t>
      </w:r>
      <w:proofErr w:type="spellEnd"/>
      <w:r w:rsidRPr="003A4D48">
        <w:rPr>
          <w:rFonts w:ascii="Times New Roman" w:hAnsi="Times New Roman" w:cs="Times New Roman"/>
          <w:sz w:val="20"/>
          <w:szCs w:val="20"/>
        </w:rPr>
        <w:t>, дрібного та крупного заповнювача відповідно</w:t>
      </w:r>
      <w:r w:rsidRPr="00090873">
        <w:rPr>
          <w:rFonts w:ascii="Times New Roman" w:hAnsi="Times New Roman" w:cs="Times New Roman"/>
          <w:sz w:val="20"/>
          <w:szCs w:val="20"/>
        </w:rPr>
        <w:t>.</w:t>
      </w:r>
    </w:p>
    <w:p w14:paraId="01A59854" w14:textId="77777777" w:rsidR="006911FE" w:rsidRPr="009B3629" w:rsidRDefault="006911FE" w:rsidP="006911F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3629">
        <w:rPr>
          <w:rFonts w:ascii="Times New Roman" w:hAnsi="Times New Roman" w:cs="Times New Roman"/>
          <w:sz w:val="20"/>
          <w:szCs w:val="20"/>
        </w:rPr>
        <w:t>Виведена емпірична формула показала очікувано нижчу точність (MAE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9B3629">
        <w:rPr>
          <w:rFonts w:ascii="Times New Roman" w:hAnsi="Times New Roman" w:cs="Times New Roman"/>
          <w:sz w:val="20"/>
          <w:szCs w:val="20"/>
        </w:rPr>
        <w:t>≈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9B3629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9B3629">
        <w:rPr>
          <w:rFonts w:ascii="Times New Roman" w:hAnsi="Times New Roman" w:cs="Times New Roman"/>
          <w:sz w:val="20"/>
          <w:szCs w:val="20"/>
        </w:rPr>
        <w:t>МПа), однак її головною перевагою є повна прозорість та можливість використання для швидких інженерних розрахунків без залучення складних обчислювальних ресурсів.</w:t>
      </w:r>
    </w:p>
    <w:p w14:paraId="2271BC3F" w14:textId="78117378" w:rsidR="009B3629" w:rsidRDefault="009B3629" w:rsidP="00A82B7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3629">
        <w:rPr>
          <w:rFonts w:ascii="Times New Roman" w:hAnsi="Times New Roman" w:cs="Times New Roman"/>
          <w:sz w:val="20"/>
          <w:szCs w:val="20"/>
        </w:rPr>
        <w:t xml:space="preserve">Найкращий баланс між точністю, стабільністю та швидкістю навчання продемонструвала модель </w:t>
      </w:r>
      <w:proofErr w:type="spellStart"/>
      <w:r w:rsidR="00A82B7A">
        <w:rPr>
          <w:rFonts w:ascii="Times New Roman" w:hAnsi="Times New Roman" w:cs="Times New Roman"/>
          <w:sz w:val="20"/>
          <w:szCs w:val="20"/>
          <w:lang w:val="en-US"/>
        </w:rPr>
        <w:t>RandomForest</w:t>
      </w:r>
      <w:proofErr w:type="spellEnd"/>
      <w:r w:rsidRPr="009B3629">
        <w:rPr>
          <w:rFonts w:ascii="Times New Roman" w:hAnsi="Times New Roman" w:cs="Times New Roman"/>
          <w:sz w:val="20"/>
          <w:szCs w:val="20"/>
        </w:rPr>
        <w:t xml:space="preserve">, яка на тестовій вибірці досягла MAE = 3.73 МПа. Цей результат є </w:t>
      </w:r>
      <w:proofErr w:type="spellStart"/>
      <w:r w:rsidRPr="009B3629">
        <w:rPr>
          <w:rFonts w:ascii="Times New Roman" w:hAnsi="Times New Roman" w:cs="Times New Roman"/>
          <w:sz w:val="20"/>
          <w:szCs w:val="20"/>
        </w:rPr>
        <w:t>співмірним</w:t>
      </w:r>
      <w:proofErr w:type="spellEnd"/>
      <w:r w:rsidRPr="009B3629">
        <w:rPr>
          <w:rFonts w:ascii="Times New Roman" w:hAnsi="Times New Roman" w:cs="Times New Roman"/>
          <w:sz w:val="20"/>
          <w:szCs w:val="20"/>
        </w:rPr>
        <w:t xml:space="preserve"> з найкращими показниками глибоких нейронних мереж, але досягається стабільно при кожному запуску.</w:t>
      </w:r>
    </w:p>
    <w:p w14:paraId="1AD14BE2" w14:textId="289BD50D" w:rsidR="009B3629" w:rsidRPr="009B3629" w:rsidRDefault="009B3629" w:rsidP="00A82B7A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B3629">
        <w:rPr>
          <w:rFonts w:ascii="Times New Roman" w:hAnsi="Times New Roman" w:cs="Times New Roman"/>
          <w:sz w:val="20"/>
          <w:szCs w:val="20"/>
        </w:rPr>
        <w:t xml:space="preserve">Ключовим результатом, отриманим з моделі </w:t>
      </w:r>
      <w:proofErr w:type="spellStart"/>
      <w:r w:rsidR="009062FB">
        <w:rPr>
          <w:rFonts w:ascii="Times New Roman" w:hAnsi="Times New Roman" w:cs="Times New Roman"/>
          <w:sz w:val="20"/>
          <w:szCs w:val="20"/>
          <w:lang w:val="en-US"/>
        </w:rPr>
        <w:t>RandomForest</w:t>
      </w:r>
      <w:proofErr w:type="spellEnd"/>
      <w:r w:rsidRPr="009B3629">
        <w:rPr>
          <w:rFonts w:ascii="Times New Roman" w:hAnsi="Times New Roman" w:cs="Times New Roman"/>
          <w:sz w:val="20"/>
          <w:szCs w:val="20"/>
        </w:rPr>
        <w:t>, є аналіз важливості ознак. Встановлено, що домінантний вплив на кінцеву міцність бетону мають вік (33.3%) та кількість цементу (32.6%). На третьому місці зі значним відривом знаходиться кількість води (12.5%). Решта компонентів сумарно вносять менше 22% у прогноз. Ці дані повністю узгоджуються з фундаментальними положеннями будівельного матеріалознавства, що додатково підтверджує адекватність побудованої моделі.</w:t>
      </w:r>
    </w:p>
    <w:p w14:paraId="6DD5C17C" w14:textId="77777777" w:rsidR="000067D2" w:rsidRPr="000067D2" w:rsidRDefault="000067D2" w:rsidP="00A82B7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C6CA297" w14:textId="77777777" w:rsidR="000067D2" w:rsidRPr="00C228E8" w:rsidRDefault="000067D2" w:rsidP="00090873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18"/>
          <w:szCs w:val="18"/>
        </w:rPr>
      </w:pPr>
      <w:proofErr w:type="spellStart"/>
      <w:r w:rsidRPr="00C228E8">
        <w:rPr>
          <w:sz w:val="18"/>
          <w:szCs w:val="18"/>
        </w:rPr>
        <w:t>Spjuth</w:t>
      </w:r>
      <w:proofErr w:type="spellEnd"/>
      <w:r w:rsidRPr="00C228E8">
        <w:rPr>
          <w:sz w:val="18"/>
          <w:szCs w:val="18"/>
        </w:rPr>
        <w:t xml:space="preserve"> O., </w:t>
      </w:r>
      <w:proofErr w:type="spellStart"/>
      <w:r w:rsidRPr="00C228E8">
        <w:rPr>
          <w:sz w:val="18"/>
          <w:szCs w:val="18"/>
        </w:rPr>
        <w:t>Carrión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Brännström</w:t>
      </w:r>
      <w:proofErr w:type="spellEnd"/>
      <w:r w:rsidRPr="00C228E8">
        <w:rPr>
          <w:sz w:val="18"/>
          <w:szCs w:val="18"/>
        </w:rPr>
        <w:t xml:space="preserve"> R., </w:t>
      </w:r>
      <w:proofErr w:type="spellStart"/>
      <w:r w:rsidRPr="00C228E8">
        <w:rPr>
          <w:sz w:val="18"/>
          <w:szCs w:val="18"/>
        </w:rPr>
        <w:t>Carlsson</w:t>
      </w:r>
      <w:proofErr w:type="spellEnd"/>
      <w:r w:rsidRPr="00C228E8">
        <w:rPr>
          <w:sz w:val="18"/>
          <w:szCs w:val="18"/>
        </w:rPr>
        <w:t xml:space="preserve"> L., </w:t>
      </w:r>
      <w:proofErr w:type="spellStart"/>
      <w:r w:rsidRPr="00C228E8">
        <w:rPr>
          <w:sz w:val="18"/>
          <w:szCs w:val="18"/>
        </w:rPr>
        <w:t>Gauraha</w:t>
      </w:r>
      <w:proofErr w:type="spellEnd"/>
      <w:r w:rsidRPr="00C228E8">
        <w:rPr>
          <w:sz w:val="18"/>
          <w:szCs w:val="18"/>
        </w:rPr>
        <w:t xml:space="preserve"> N. </w:t>
      </w:r>
      <w:proofErr w:type="spellStart"/>
      <w:r w:rsidRPr="00C228E8">
        <w:rPr>
          <w:rStyle w:val="a4"/>
          <w:sz w:val="18"/>
          <w:szCs w:val="18"/>
        </w:rPr>
        <w:t>Combining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Prediction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Intervals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Multi-Source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Non-Disclosed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Regression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Datasets</w:t>
      </w:r>
      <w:proofErr w:type="spellEnd"/>
      <w:r w:rsidRPr="00C228E8">
        <w:rPr>
          <w:rStyle w:val="a4"/>
          <w:sz w:val="18"/>
          <w:szCs w:val="18"/>
        </w:rPr>
        <w:t>.</w:t>
      </w:r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In</w:t>
      </w:r>
      <w:proofErr w:type="spellEnd"/>
      <w:r w:rsidRPr="00C228E8">
        <w:rPr>
          <w:sz w:val="18"/>
          <w:szCs w:val="18"/>
        </w:rPr>
        <w:t xml:space="preserve">: </w:t>
      </w:r>
      <w:proofErr w:type="spellStart"/>
      <w:r w:rsidRPr="00C228E8">
        <w:rPr>
          <w:rStyle w:val="a4"/>
          <w:sz w:val="18"/>
          <w:szCs w:val="18"/>
        </w:rPr>
        <w:t>Conformal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and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Probabilistic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Prediction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and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Applications</w:t>
      </w:r>
      <w:proofErr w:type="spellEnd"/>
      <w:r w:rsidRPr="00C228E8">
        <w:rPr>
          <w:rStyle w:val="a4"/>
          <w:sz w:val="18"/>
          <w:szCs w:val="18"/>
        </w:rPr>
        <w:t xml:space="preserve"> (COPA 2019).</w:t>
      </w:r>
      <w:r w:rsidRPr="00C228E8">
        <w:rPr>
          <w:sz w:val="18"/>
          <w:szCs w:val="18"/>
        </w:rPr>
        <w:t xml:space="preserve"> PMLR, </w:t>
      </w:r>
      <w:proofErr w:type="spellStart"/>
      <w:r w:rsidRPr="00C228E8">
        <w:rPr>
          <w:sz w:val="18"/>
          <w:szCs w:val="18"/>
        </w:rPr>
        <w:t>Vol</w:t>
      </w:r>
      <w:proofErr w:type="spellEnd"/>
      <w:r w:rsidRPr="00C228E8">
        <w:rPr>
          <w:sz w:val="18"/>
          <w:szCs w:val="18"/>
        </w:rPr>
        <w:t xml:space="preserve">. 105, </w:t>
      </w:r>
      <w:proofErr w:type="spellStart"/>
      <w:r w:rsidRPr="00C228E8">
        <w:rPr>
          <w:sz w:val="18"/>
          <w:szCs w:val="18"/>
        </w:rPr>
        <w:t>pp</w:t>
      </w:r>
      <w:proofErr w:type="spellEnd"/>
      <w:r w:rsidRPr="00C228E8">
        <w:rPr>
          <w:sz w:val="18"/>
          <w:szCs w:val="18"/>
        </w:rPr>
        <w:t xml:space="preserve">. 164–177. URL: </w:t>
      </w:r>
      <w:hyperlink r:id="rId5" w:tgtFrame="_new" w:history="1">
        <w:r w:rsidRPr="00C228E8">
          <w:rPr>
            <w:rStyle w:val="a5"/>
            <w:sz w:val="18"/>
            <w:szCs w:val="18"/>
          </w:rPr>
          <w:t>https://proceedings.mlr.press/v105/spjuth19a.html</w:t>
        </w:r>
      </w:hyperlink>
      <w:r w:rsidRPr="00C228E8">
        <w:rPr>
          <w:sz w:val="18"/>
          <w:szCs w:val="18"/>
        </w:rPr>
        <w:t xml:space="preserve"> (</w:t>
      </w:r>
      <w:proofErr w:type="spellStart"/>
      <w:r w:rsidRPr="00C228E8">
        <w:rPr>
          <w:sz w:val="18"/>
          <w:szCs w:val="18"/>
        </w:rPr>
        <w:t>date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of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access</w:t>
      </w:r>
      <w:proofErr w:type="spellEnd"/>
      <w:r w:rsidRPr="00C228E8">
        <w:rPr>
          <w:sz w:val="18"/>
          <w:szCs w:val="18"/>
        </w:rPr>
        <w:t>: 10.11.2025).</w:t>
      </w:r>
    </w:p>
    <w:p w14:paraId="2EA64E1A" w14:textId="77777777" w:rsidR="000067D2" w:rsidRPr="00C228E8" w:rsidRDefault="000067D2" w:rsidP="00090873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18"/>
          <w:szCs w:val="18"/>
        </w:rPr>
      </w:pPr>
      <w:proofErr w:type="spellStart"/>
      <w:r w:rsidRPr="00C228E8">
        <w:rPr>
          <w:sz w:val="18"/>
          <w:szCs w:val="18"/>
        </w:rPr>
        <w:t>Geifman</w:t>
      </w:r>
      <w:proofErr w:type="spellEnd"/>
      <w:r w:rsidRPr="00C228E8">
        <w:rPr>
          <w:sz w:val="18"/>
          <w:szCs w:val="18"/>
        </w:rPr>
        <w:t xml:space="preserve"> Y., </w:t>
      </w:r>
      <w:proofErr w:type="spellStart"/>
      <w:r w:rsidRPr="00C228E8">
        <w:rPr>
          <w:sz w:val="18"/>
          <w:szCs w:val="18"/>
        </w:rPr>
        <w:t>El-Yaniv</w:t>
      </w:r>
      <w:proofErr w:type="spellEnd"/>
      <w:r w:rsidRPr="00C228E8">
        <w:rPr>
          <w:sz w:val="18"/>
          <w:szCs w:val="18"/>
        </w:rPr>
        <w:t xml:space="preserve"> R. </w:t>
      </w:r>
      <w:proofErr w:type="spellStart"/>
      <w:r w:rsidRPr="00C228E8">
        <w:rPr>
          <w:rStyle w:val="a4"/>
          <w:sz w:val="18"/>
          <w:szCs w:val="18"/>
        </w:rPr>
        <w:t>SelectiveNet</w:t>
      </w:r>
      <w:proofErr w:type="spellEnd"/>
      <w:r w:rsidRPr="00C228E8">
        <w:rPr>
          <w:rStyle w:val="a4"/>
          <w:sz w:val="18"/>
          <w:szCs w:val="18"/>
        </w:rPr>
        <w:t xml:space="preserve">: A </w:t>
      </w:r>
      <w:proofErr w:type="spellStart"/>
      <w:r w:rsidRPr="00C228E8">
        <w:rPr>
          <w:rStyle w:val="a4"/>
          <w:sz w:val="18"/>
          <w:szCs w:val="18"/>
        </w:rPr>
        <w:t>Deep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Neural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Network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with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an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Integrated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Reject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Option</w:t>
      </w:r>
      <w:proofErr w:type="spellEnd"/>
      <w:r w:rsidRPr="00C228E8">
        <w:rPr>
          <w:rStyle w:val="a4"/>
          <w:sz w:val="18"/>
          <w:szCs w:val="18"/>
        </w:rPr>
        <w:t>.</w:t>
      </w:r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In</w:t>
      </w:r>
      <w:proofErr w:type="spellEnd"/>
      <w:r w:rsidRPr="00C228E8">
        <w:rPr>
          <w:sz w:val="18"/>
          <w:szCs w:val="18"/>
        </w:rPr>
        <w:t xml:space="preserve">: </w:t>
      </w:r>
      <w:proofErr w:type="spellStart"/>
      <w:r w:rsidRPr="00C228E8">
        <w:rPr>
          <w:rStyle w:val="a4"/>
          <w:sz w:val="18"/>
          <w:szCs w:val="18"/>
        </w:rPr>
        <w:t>Proceedings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of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the</w:t>
      </w:r>
      <w:proofErr w:type="spellEnd"/>
      <w:r w:rsidRPr="00C228E8">
        <w:rPr>
          <w:rStyle w:val="a4"/>
          <w:sz w:val="18"/>
          <w:szCs w:val="18"/>
        </w:rPr>
        <w:t xml:space="preserve"> 36th </w:t>
      </w:r>
      <w:proofErr w:type="spellStart"/>
      <w:r w:rsidRPr="00C228E8">
        <w:rPr>
          <w:rStyle w:val="a4"/>
          <w:sz w:val="18"/>
          <w:szCs w:val="18"/>
        </w:rPr>
        <w:t>International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Conference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Machine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Learning</w:t>
      </w:r>
      <w:proofErr w:type="spellEnd"/>
      <w:r w:rsidRPr="00C228E8">
        <w:rPr>
          <w:rStyle w:val="a4"/>
          <w:sz w:val="18"/>
          <w:szCs w:val="18"/>
        </w:rPr>
        <w:t xml:space="preserve"> (ICML 2019).</w:t>
      </w:r>
      <w:r w:rsidRPr="00C228E8">
        <w:rPr>
          <w:sz w:val="18"/>
          <w:szCs w:val="18"/>
        </w:rPr>
        <w:t xml:space="preserve"> PMLR, </w:t>
      </w:r>
      <w:proofErr w:type="spellStart"/>
      <w:r w:rsidRPr="00C228E8">
        <w:rPr>
          <w:sz w:val="18"/>
          <w:szCs w:val="18"/>
        </w:rPr>
        <w:t>Vol</w:t>
      </w:r>
      <w:proofErr w:type="spellEnd"/>
      <w:r w:rsidRPr="00C228E8">
        <w:rPr>
          <w:sz w:val="18"/>
          <w:szCs w:val="18"/>
        </w:rPr>
        <w:t xml:space="preserve">. 97, </w:t>
      </w:r>
      <w:proofErr w:type="spellStart"/>
      <w:r w:rsidRPr="00C228E8">
        <w:rPr>
          <w:sz w:val="18"/>
          <w:szCs w:val="18"/>
        </w:rPr>
        <w:t>pp</w:t>
      </w:r>
      <w:proofErr w:type="spellEnd"/>
      <w:r w:rsidRPr="00C228E8">
        <w:rPr>
          <w:sz w:val="18"/>
          <w:szCs w:val="18"/>
        </w:rPr>
        <w:t xml:space="preserve">. 2151–2160. URL: </w:t>
      </w:r>
      <w:hyperlink r:id="rId6" w:tgtFrame="_new" w:history="1">
        <w:r w:rsidRPr="00C228E8">
          <w:rPr>
            <w:rStyle w:val="a5"/>
            <w:sz w:val="18"/>
            <w:szCs w:val="18"/>
          </w:rPr>
          <w:t>https://proceedings.mlr.press/v97/geifman19a.html</w:t>
        </w:r>
      </w:hyperlink>
      <w:r w:rsidRPr="00C228E8">
        <w:rPr>
          <w:sz w:val="18"/>
          <w:szCs w:val="18"/>
        </w:rPr>
        <w:t xml:space="preserve"> (</w:t>
      </w:r>
      <w:proofErr w:type="spellStart"/>
      <w:r w:rsidRPr="00C228E8">
        <w:rPr>
          <w:sz w:val="18"/>
          <w:szCs w:val="18"/>
        </w:rPr>
        <w:t>date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of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access</w:t>
      </w:r>
      <w:proofErr w:type="spellEnd"/>
      <w:r w:rsidRPr="00C228E8">
        <w:rPr>
          <w:sz w:val="18"/>
          <w:szCs w:val="18"/>
        </w:rPr>
        <w:t>: 10.11.2025).</w:t>
      </w:r>
    </w:p>
    <w:p w14:paraId="3D0F0DB8" w14:textId="342FA38F" w:rsidR="000067D2" w:rsidRPr="00C228E8" w:rsidRDefault="000067D2" w:rsidP="00090873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18"/>
          <w:szCs w:val="18"/>
        </w:rPr>
      </w:pPr>
      <w:proofErr w:type="spellStart"/>
      <w:r w:rsidRPr="00C228E8">
        <w:rPr>
          <w:rStyle w:val="a4"/>
          <w:sz w:val="18"/>
          <w:szCs w:val="18"/>
        </w:rPr>
        <w:t>Mistry</w:t>
      </w:r>
      <w:proofErr w:type="spellEnd"/>
      <w:r w:rsidRPr="00C228E8">
        <w:rPr>
          <w:sz w:val="18"/>
          <w:szCs w:val="18"/>
        </w:rPr>
        <w:t xml:space="preserve"> M., </w:t>
      </w:r>
      <w:proofErr w:type="spellStart"/>
      <w:r w:rsidRPr="00C228E8">
        <w:rPr>
          <w:sz w:val="18"/>
          <w:szCs w:val="18"/>
        </w:rPr>
        <w:t>Letsios</w:t>
      </w:r>
      <w:proofErr w:type="spellEnd"/>
      <w:r w:rsidRPr="00C228E8">
        <w:rPr>
          <w:sz w:val="18"/>
          <w:szCs w:val="18"/>
        </w:rPr>
        <w:t xml:space="preserve"> D., </w:t>
      </w:r>
      <w:proofErr w:type="spellStart"/>
      <w:r w:rsidRPr="00C228E8">
        <w:rPr>
          <w:sz w:val="18"/>
          <w:szCs w:val="18"/>
        </w:rPr>
        <w:t>Krennrich</w:t>
      </w:r>
      <w:proofErr w:type="spellEnd"/>
      <w:r w:rsidRPr="00C228E8">
        <w:rPr>
          <w:sz w:val="18"/>
          <w:szCs w:val="18"/>
        </w:rPr>
        <w:t xml:space="preserve"> G., </w:t>
      </w:r>
      <w:proofErr w:type="spellStart"/>
      <w:r w:rsidRPr="00C228E8">
        <w:rPr>
          <w:sz w:val="18"/>
          <w:szCs w:val="18"/>
        </w:rPr>
        <w:t>Lee</w:t>
      </w:r>
      <w:proofErr w:type="spellEnd"/>
      <w:r w:rsidRPr="00C228E8">
        <w:rPr>
          <w:sz w:val="18"/>
          <w:szCs w:val="18"/>
        </w:rPr>
        <w:t xml:space="preserve"> R.M., </w:t>
      </w:r>
      <w:proofErr w:type="spellStart"/>
      <w:r w:rsidRPr="00C228E8">
        <w:rPr>
          <w:sz w:val="18"/>
          <w:szCs w:val="18"/>
        </w:rPr>
        <w:t>Misener</w:t>
      </w:r>
      <w:proofErr w:type="spellEnd"/>
      <w:r w:rsidRPr="00C228E8">
        <w:rPr>
          <w:sz w:val="18"/>
          <w:szCs w:val="18"/>
        </w:rPr>
        <w:t xml:space="preserve"> R. </w:t>
      </w:r>
      <w:proofErr w:type="spellStart"/>
      <w:r w:rsidRPr="00C228E8">
        <w:rPr>
          <w:rStyle w:val="a4"/>
          <w:sz w:val="18"/>
          <w:szCs w:val="18"/>
        </w:rPr>
        <w:t>Mixed-Integer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Convex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Nonlinear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Optimization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with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Gradient-Boosted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Trees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Embedded</w:t>
      </w:r>
      <w:proofErr w:type="spellEnd"/>
      <w:r w:rsidRPr="00C228E8">
        <w:rPr>
          <w:rStyle w:val="a4"/>
          <w:sz w:val="18"/>
          <w:szCs w:val="18"/>
        </w:rPr>
        <w:t>.</w:t>
      </w:r>
      <w:r w:rsidRPr="00C228E8">
        <w:rPr>
          <w:sz w:val="18"/>
          <w:szCs w:val="18"/>
        </w:rPr>
        <w:t xml:space="preserve"> </w:t>
      </w:r>
      <w:r w:rsidRPr="00C228E8">
        <w:rPr>
          <w:rStyle w:val="a4"/>
          <w:sz w:val="18"/>
          <w:szCs w:val="18"/>
        </w:rPr>
        <w:t xml:space="preserve">INFORMS </w:t>
      </w:r>
      <w:proofErr w:type="spellStart"/>
      <w:r w:rsidRPr="00C228E8">
        <w:rPr>
          <w:rStyle w:val="a4"/>
          <w:sz w:val="18"/>
          <w:szCs w:val="18"/>
        </w:rPr>
        <w:t>Journal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on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Computing</w:t>
      </w:r>
      <w:proofErr w:type="spellEnd"/>
      <w:r w:rsidRPr="00C228E8">
        <w:rPr>
          <w:rStyle w:val="a4"/>
          <w:sz w:val="18"/>
          <w:szCs w:val="18"/>
        </w:rPr>
        <w:t>.</w:t>
      </w:r>
      <w:r w:rsidRPr="00C228E8">
        <w:rPr>
          <w:sz w:val="18"/>
          <w:szCs w:val="18"/>
        </w:rPr>
        <w:t xml:space="preserve"> 2021. </w:t>
      </w:r>
      <w:proofErr w:type="spellStart"/>
      <w:r w:rsidRPr="00C228E8">
        <w:rPr>
          <w:sz w:val="18"/>
          <w:szCs w:val="18"/>
        </w:rPr>
        <w:t>Vol</w:t>
      </w:r>
      <w:proofErr w:type="spellEnd"/>
      <w:r w:rsidRPr="00C228E8">
        <w:rPr>
          <w:sz w:val="18"/>
          <w:szCs w:val="18"/>
        </w:rPr>
        <w:t xml:space="preserve">. 33(3), </w:t>
      </w:r>
      <w:proofErr w:type="spellStart"/>
      <w:r w:rsidRPr="00C228E8">
        <w:rPr>
          <w:sz w:val="18"/>
          <w:szCs w:val="18"/>
        </w:rPr>
        <w:t>pp</w:t>
      </w:r>
      <w:proofErr w:type="spellEnd"/>
      <w:r w:rsidRPr="00C228E8">
        <w:rPr>
          <w:sz w:val="18"/>
          <w:szCs w:val="18"/>
        </w:rPr>
        <w:t>. 1103–1119. DOI:</w:t>
      </w:r>
      <w:r w:rsidR="00C228E8" w:rsidRPr="00C228E8">
        <w:rPr>
          <w:sz w:val="18"/>
          <w:szCs w:val="18"/>
        </w:rPr>
        <w:t>10.48550/arXiv.1803.00952</w:t>
      </w:r>
      <w:r w:rsidRPr="00C228E8">
        <w:rPr>
          <w:sz w:val="18"/>
          <w:szCs w:val="18"/>
        </w:rPr>
        <w:t xml:space="preserve"> </w:t>
      </w:r>
    </w:p>
    <w:p w14:paraId="058E1042" w14:textId="67F60800" w:rsidR="000067D2" w:rsidRPr="00C228E8" w:rsidRDefault="000067D2" w:rsidP="00090873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18"/>
          <w:szCs w:val="18"/>
        </w:rPr>
      </w:pPr>
      <w:proofErr w:type="spellStart"/>
      <w:r w:rsidRPr="00C228E8">
        <w:rPr>
          <w:sz w:val="18"/>
          <w:szCs w:val="18"/>
        </w:rPr>
        <w:t>Žegklitz</w:t>
      </w:r>
      <w:proofErr w:type="spellEnd"/>
      <w:r w:rsidRPr="00C228E8">
        <w:rPr>
          <w:sz w:val="18"/>
          <w:szCs w:val="18"/>
        </w:rPr>
        <w:t xml:space="preserve"> J., </w:t>
      </w:r>
      <w:proofErr w:type="spellStart"/>
      <w:r w:rsidRPr="00C228E8">
        <w:rPr>
          <w:sz w:val="18"/>
          <w:szCs w:val="18"/>
        </w:rPr>
        <w:t>Posík</w:t>
      </w:r>
      <w:proofErr w:type="spellEnd"/>
      <w:r w:rsidRPr="00C228E8">
        <w:rPr>
          <w:sz w:val="18"/>
          <w:szCs w:val="18"/>
        </w:rPr>
        <w:t xml:space="preserve"> P. </w:t>
      </w:r>
      <w:proofErr w:type="spellStart"/>
      <w:r w:rsidRPr="00C228E8">
        <w:rPr>
          <w:rStyle w:val="a4"/>
          <w:sz w:val="18"/>
          <w:szCs w:val="18"/>
        </w:rPr>
        <w:t>Learning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Linear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Feature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Space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Transformations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in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Symbolic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Regression</w:t>
      </w:r>
      <w:proofErr w:type="spellEnd"/>
      <w:r w:rsidRPr="00C228E8">
        <w:rPr>
          <w:rStyle w:val="a4"/>
          <w:sz w:val="18"/>
          <w:szCs w:val="18"/>
        </w:rPr>
        <w:t>.</w:t>
      </w:r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arXiv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preprint</w:t>
      </w:r>
      <w:proofErr w:type="spellEnd"/>
      <w:r w:rsidRPr="00C228E8">
        <w:rPr>
          <w:sz w:val="18"/>
          <w:szCs w:val="18"/>
        </w:rPr>
        <w:t xml:space="preserve"> arXiv:1704.05134, 2017. URL: </w:t>
      </w:r>
      <w:hyperlink r:id="rId7" w:history="1">
        <w:r w:rsidR="005C0985" w:rsidRPr="00C228E8">
          <w:rPr>
            <w:rStyle w:val="a5"/>
            <w:sz w:val="18"/>
            <w:szCs w:val="18"/>
          </w:rPr>
          <w:t>https://arxiv.org/abs/1704.05134</w:t>
        </w:r>
      </w:hyperlink>
      <w:r w:rsidR="005C0985" w:rsidRPr="00C228E8">
        <w:rPr>
          <w:sz w:val="18"/>
          <w:szCs w:val="18"/>
          <w:lang w:val="en-US"/>
        </w:rPr>
        <w:t xml:space="preserve"> </w:t>
      </w:r>
      <w:r w:rsidRPr="00C228E8">
        <w:rPr>
          <w:sz w:val="18"/>
          <w:szCs w:val="18"/>
        </w:rPr>
        <w:t>(</w:t>
      </w:r>
      <w:proofErr w:type="spellStart"/>
      <w:r w:rsidRPr="00C228E8">
        <w:rPr>
          <w:sz w:val="18"/>
          <w:szCs w:val="18"/>
        </w:rPr>
        <w:t>date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of</w:t>
      </w:r>
      <w:proofErr w:type="spellEnd"/>
      <w:r w:rsidRPr="00C228E8">
        <w:rPr>
          <w:sz w:val="18"/>
          <w:szCs w:val="18"/>
        </w:rPr>
        <w:t xml:space="preserve"> </w:t>
      </w:r>
      <w:proofErr w:type="spellStart"/>
      <w:r w:rsidRPr="00C228E8">
        <w:rPr>
          <w:sz w:val="18"/>
          <w:szCs w:val="18"/>
        </w:rPr>
        <w:t>access</w:t>
      </w:r>
      <w:proofErr w:type="spellEnd"/>
      <w:r w:rsidRPr="00C228E8">
        <w:rPr>
          <w:sz w:val="18"/>
          <w:szCs w:val="18"/>
        </w:rPr>
        <w:t>: 10.11.2025).</w:t>
      </w:r>
    </w:p>
    <w:p w14:paraId="3612613C" w14:textId="77777777" w:rsidR="000067D2" w:rsidRPr="00C228E8" w:rsidRDefault="000067D2" w:rsidP="00090873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sz w:val="18"/>
          <w:szCs w:val="18"/>
        </w:rPr>
      </w:pPr>
      <w:proofErr w:type="spellStart"/>
      <w:r w:rsidRPr="00C228E8">
        <w:rPr>
          <w:sz w:val="18"/>
          <w:szCs w:val="18"/>
        </w:rPr>
        <w:t>Yeh</w:t>
      </w:r>
      <w:proofErr w:type="spellEnd"/>
      <w:r w:rsidRPr="00C228E8">
        <w:rPr>
          <w:sz w:val="18"/>
          <w:szCs w:val="18"/>
        </w:rPr>
        <w:t xml:space="preserve"> I.-C. </w:t>
      </w:r>
      <w:proofErr w:type="spellStart"/>
      <w:r w:rsidRPr="00C228E8">
        <w:rPr>
          <w:rStyle w:val="a4"/>
          <w:sz w:val="18"/>
          <w:szCs w:val="18"/>
        </w:rPr>
        <w:t>Concrete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Compressive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Strength</w:t>
      </w:r>
      <w:proofErr w:type="spellEnd"/>
      <w:r w:rsidRPr="00C228E8">
        <w:rPr>
          <w:rStyle w:val="a4"/>
          <w:sz w:val="18"/>
          <w:szCs w:val="18"/>
        </w:rPr>
        <w:t xml:space="preserve"> [</w:t>
      </w:r>
      <w:proofErr w:type="spellStart"/>
      <w:r w:rsidRPr="00C228E8">
        <w:rPr>
          <w:rStyle w:val="a4"/>
          <w:sz w:val="18"/>
          <w:szCs w:val="18"/>
        </w:rPr>
        <w:t>Dataset</w:t>
      </w:r>
      <w:proofErr w:type="spellEnd"/>
      <w:r w:rsidRPr="00C228E8">
        <w:rPr>
          <w:rStyle w:val="a4"/>
          <w:sz w:val="18"/>
          <w:szCs w:val="18"/>
        </w:rPr>
        <w:t>].</w:t>
      </w:r>
      <w:r w:rsidRPr="00C228E8">
        <w:rPr>
          <w:sz w:val="18"/>
          <w:szCs w:val="18"/>
        </w:rPr>
        <w:t xml:space="preserve"> </w:t>
      </w:r>
      <w:r w:rsidRPr="00C228E8">
        <w:rPr>
          <w:rStyle w:val="a4"/>
          <w:sz w:val="18"/>
          <w:szCs w:val="18"/>
        </w:rPr>
        <w:t xml:space="preserve">UCI </w:t>
      </w:r>
      <w:proofErr w:type="spellStart"/>
      <w:r w:rsidRPr="00C228E8">
        <w:rPr>
          <w:rStyle w:val="a4"/>
          <w:sz w:val="18"/>
          <w:szCs w:val="18"/>
        </w:rPr>
        <w:t>Machine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Learning</w:t>
      </w:r>
      <w:proofErr w:type="spellEnd"/>
      <w:r w:rsidRPr="00C228E8">
        <w:rPr>
          <w:rStyle w:val="a4"/>
          <w:sz w:val="18"/>
          <w:szCs w:val="18"/>
        </w:rPr>
        <w:t xml:space="preserve"> </w:t>
      </w:r>
      <w:proofErr w:type="spellStart"/>
      <w:r w:rsidRPr="00C228E8">
        <w:rPr>
          <w:rStyle w:val="a4"/>
          <w:sz w:val="18"/>
          <w:szCs w:val="18"/>
        </w:rPr>
        <w:t>Repository</w:t>
      </w:r>
      <w:proofErr w:type="spellEnd"/>
      <w:r w:rsidRPr="00C228E8">
        <w:rPr>
          <w:sz w:val="18"/>
          <w:szCs w:val="18"/>
        </w:rPr>
        <w:t>, 1998. DOI: 10.24432/C5PK67.</w:t>
      </w:r>
    </w:p>
    <w:sectPr w:rsidR="000067D2" w:rsidRPr="00C228E8" w:rsidSect="009B3629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1553"/>
    <w:multiLevelType w:val="hybridMultilevel"/>
    <w:tmpl w:val="084453D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F32"/>
    <w:multiLevelType w:val="hybridMultilevel"/>
    <w:tmpl w:val="B52E33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A804B3"/>
    <w:multiLevelType w:val="hybridMultilevel"/>
    <w:tmpl w:val="DF7C14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29"/>
    <w:rsid w:val="000067D2"/>
    <w:rsid w:val="000578A4"/>
    <w:rsid w:val="00090873"/>
    <w:rsid w:val="000E225E"/>
    <w:rsid w:val="00225B7F"/>
    <w:rsid w:val="003A4D48"/>
    <w:rsid w:val="004B538F"/>
    <w:rsid w:val="00537411"/>
    <w:rsid w:val="00545012"/>
    <w:rsid w:val="005C0985"/>
    <w:rsid w:val="00613A55"/>
    <w:rsid w:val="006911FE"/>
    <w:rsid w:val="00781F48"/>
    <w:rsid w:val="008F0DEA"/>
    <w:rsid w:val="009062FB"/>
    <w:rsid w:val="009B3629"/>
    <w:rsid w:val="00A82B7A"/>
    <w:rsid w:val="00A96CE1"/>
    <w:rsid w:val="00AC0F95"/>
    <w:rsid w:val="00B35085"/>
    <w:rsid w:val="00B76762"/>
    <w:rsid w:val="00BB2624"/>
    <w:rsid w:val="00C228E8"/>
    <w:rsid w:val="00CD1E51"/>
    <w:rsid w:val="00DC56E1"/>
    <w:rsid w:val="00DD6ABC"/>
    <w:rsid w:val="00E261AB"/>
    <w:rsid w:val="00E6150D"/>
    <w:rsid w:val="00F23597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8E8A"/>
  <w15:chartTrackingRefBased/>
  <w15:docId w15:val="{7266E517-0B67-45F3-81FD-1B5B6250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0067D2"/>
    <w:rPr>
      <w:i/>
      <w:iCs/>
    </w:rPr>
  </w:style>
  <w:style w:type="character" w:styleId="a5">
    <w:name w:val="Hyperlink"/>
    <w:basedOn w:val="a0"/>
    <w:uiPriority w:val="99"/>
    <w:unhideWhenUsed/>
    <w:rsid w:val="000067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508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76762"/>
    <w:rPr>
      <w:color w:val="808080"/>
    </w:rPr>
  </w:style>
  <w:style w:type="table" w:styleId="a8">
    <w:name w:val="Table Grid"/>
    <w:basedOn w:val="a1"/>
    <w:uiPriority w:val="39"/>
    <w:rsid w:val="003A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5C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xiv.org/abs/1704.05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ceedings.mlr.press/v97/geifman19a.html" TargetMode="External"/><Relationship Id="rId5" Type="http://schemas.openxmlformats.org/officeDocument/2006/relationships/hyperlink" Target="https://proceedings.mlr.press/v105/spjuth19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Prykhodko</dc:creator>
  <cp:keywords/>
  <dc:description/>
  <cp:lastModifiedBy>UserOk</cp:lastModifiedBy>
  <cp:revision>2</cp:revision>
  <dcterms:created xsi:type="dcterms:W3CDTF">2025-11-21T07:48:00Z</dcterms:created>
  <dcterms:modified xsi:type="dcterms:W3CDTF">2025-11-21T07:48:00Z</dcterms:modified>
</cp:coreProperties>
</file>