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2576E" w14:textId="56E3A31C" w:rsidR="00806CE2" w:rsidRPr="00524970" w:rsidRDefault="00C7161B" w:rsidP="00806CE2">
      <w:pPr>
        <w:rPr>
          <w:b/>
          <w:sz w:val="20"/>
          <w:szCs w:val="20"/>
        </w:rPr>
      </w:pPr>
      <w:r w:rsidRPr="00DF738A">
        <w:rPr>
          <w:b/>
          <w:sz w:val="20"/>
          <w:szCs w:val="20"/>
        </w:rPr>
        <w:t xml:space="preserve">УДК </w:t>
      </w:r>
      <w:r w:rsidR="00524970">
        <w:rPr>
          <w:b/>
          <w:sz w:val="20"/>
          <w:szCs w:val="20"/>
        </w:rPr>
        <w:t>628.24</w:t>
      </w:r>
    </w:p>
    <w:p w14:paraId="3670BF6C" w14:textId="77777777" w:rsidR="00806CE2" w:rsidRPr="001D6250" w:rsidRDefault="00806CE2" w:rsidP="00806CE2">
      <w:pPr>
        <w:tabs>
          <w:tab w:val="left" w:pos="0"/>
        </w:tabs>
        <w:jc w:val="center"/>
        <w:rPr>
          <w:b/>
          <w:sz w:val="20"/>
          <w:szCs w:val="20"/>
          <w:highlight w:val="yellow"/>
          <w:lang w:val="uk-UA"/>
        </w:rPr>
      </w:pPr>
    </w:p>
    <w:p w14:paraId="76161A2B" w14:textId="2579397C" w:rsidR="00524970" w:rsidRDefault="00524970" w:rsidP="00524970">
      <w:pPr>
        <w:tabs>
          <w:tab w:val="left" w:pos="0"/>
        </w:tabs>
        <w:jc w:val="center"/>
        <w:rPr>
          <w:b/>
          <w:sz w:val="20"/>
          <w:szCs w:val="20"/>
          <w:highlight w:val="yellow"/>
          <w:lang w:val="pl-PL"/>
        </w:rPr>
      </w:pPr>
      <w:r w:rsidRPr="00524970">
        <w:rPr>
          <w:b/>
          <w:sz w:val="20"/>
          <w:szCs w:val="20"/>
          <w:lang w:val="pl-PL"/>
        </w:rPr>
        <w:t>Аналіз просторових змін продуктів сульфатної корозії бетонних каналізаційних колекторів</w:t>
      </w:r>
    </w:p>
    <w:p w14:paraId="41C5B074" w14:textId="77777777" w:rsidR="00524970" w:rsidRPr="00524970" w:rsidRDefault="00524970" w:rsidP="00524970">
      <w:pPr>
        <w:tabs>
          <w:tab w:val="left" w:pos="0"/>
        </w:tabs>
        <w:jc w:val="center"/>
        <w:rPr>
          <w:b/>
          <w:sz w:val="20"/>
          <w:szCs w:val="20"/>
          <w:highlight w:val="yellow"/>
          <w:lang w:val="pl-PL"/>
        </w:rPr>
      </w:pPr>
    </w:p>
    <w:p w14:paraId="17CC5C54" w14:textId="22BBF286" w:rsidR="001D6250" w:rsidRPr="00042DE0" w:rsidRDefault="00524970" w:rsidP="001D6250">
      <w:pPr>
        <w:tabs>
          <w:tab w:val="left" w:pos="0"/>
        </w:tabs>
        <w:jc w:val="center"/>
        <w:rPr>
          <w:b/>
          <w:sz w:val="20"/>
          <w:szCs w:val="20"/>
          <w:highlight w:val="yellow"/>
          <w:lang w:val="en-US"/>
        </w:rPr>
      </w:pPr>
      <w:r w:rsidRPr="00524970">
        <w:rPr>
          <w:b/>
          <w:sz w:val="20"/>
          <w:szCs w:val="20"/>
          <w:lang w:val="en-US"/>
        </w:rPr>
        <w:t>Analysis of spatial changes in sulfate corrosion products of concrete sewer collectors</w:t>
      </w:r>
    </w:p>
    <w:p w14:paraId="686D595F" w14:textId="77777777" w:rsidR="001D6250" w:rsidRPr="00042DE0" w:rsidRDefault="001D6250" w:rsidP="001D6250">
      <w:pPr>
        <w:tabs>
          <w:tab w:val="left" w:pos="0"/>
        </w:tabs>
        <w:jc w:val="center"/>
        <w:rPr>
          <w:b/>
          <w:sz w:val="20"/>
          <w:szCs w:val="20"/>
          <w:highlight w:val="yellow"/>
          <w:lang w:val="en-US"/>
        </w:rPr>
      </w:pPr>
    </w:p>
    <w:p w14:paraId="4ED54D3E" w14:textId="780E1701" w:rsidR="001D6250" w:rsidRDefault="00E1743A" w:rsidP="001D6250">
      <w:pPr>
        <w:tabs>
          <w:tab w:val="left" w:pos="0"/>
        </w:tabs>
        <w:ind w:firstLine="567"/>
        <w:jc w:val="both"/>
        <w:rPr>
          <w:b/>
          <w:sz w:val="20"/>
          <w:szCs w:val="20"/>
          <w:lang w:val="uk-UA"/>
        </w:rPr>
      </w:pPr>
      <w:r w:rsidRPr="00E1743A">
        <w:rPr>
          <w:b/>
          <w:sz w:val="20"/>
          <w:szCs w:val="20"/>
          <w:lang w:val="uk-UA"/>
        </w:rPr>
        <w:t>О</w:t>
      </w:r>
      <w:r w:rsidR="001D6250" w:rsidRPr="00E1743A">
        <w:rPr>
          <w:b/>
          <w:sz w:val="20"/>
          <w:szCs w:val="20"/>
          <w:lang w:val="uk-UA"/>
        </w:rPr>
        <w:t xml:space="preserve">. </w:t>
      </w:r>
      <w:proofErr w:type="spellStart"/>
      <w:r w:rsidRPr="00E1743A">
        <w:rPr>
          <w:b/>
          <w:sz w:val="20"/>
          <w:szCs w:val="20"/>
          <w:lang w:val="uk-UA"/>
        </w:rPr>
        <w:t>Борзяк</w:t>
      </w:r>
      <w:proofErr w:type="spellEnd"/>
      <w:r w:rsidR="001D6250" w:rsidRPr="00E1743A">
        <w:rPr>
          <w:b/>
          <w:sz w:val="20"/>
          <w:szCs w:val="20"/>
          <w:lang w:val="uk-UA"/>
        </w:rPr>
        <w:t xml:space="preserve">, </w:t>
      </w:r>
      <w:proofErr w:type="spellStart"/>
      <w:r w:rsidRPr="00E1743A">
        <w:rPr>
          <w:b/>
          <w:sz w:val="20"/>
          <w:szCs w:val="20"/>
          <w:lang w:val="uk-UA"/>
        </w:rPr>
        <w:t>д</w:t>
      </w:r>
      <w:r w:rsidR="00FE5B6E">
        <w:rPr>
          <w:b/>
          <w:sz w:val="20"/>
          <w:szCs w:val="20"/>
          <w:lang w:val="uk-UA"/>
        </w:rPr>
        <w:t>.</w:t>
      </w:r>
      <w:r w:rsidR="001D6250" w:rsidRPr="00E1743A">
        <w:rPr>
          <w:b/>
          <w:sz w:val="20"/>
          <w:szCs w:val="20"/>
          <w:lang w:val="uk-UA"/>
        </w:rPr>
        <w:t>т</w:t>
      </w:r>
      <w:r w:rsidR="00FE5B6E">
        <w:rPr>
          <w:b/>
          <w:sz w:val="20"/>
          <w:szCs w:val="20"/>
          <w:lang w:val="uk-UA"/>
        </w:rPr>
        <w:t>.</w:t>
      </w:r>
      <w:r w:rsidR="001D6250" w:rsidRPr="00E1743A">
        <w:rPr>
          <w:b/>
          <w:sz w:val="20"/>
          <w:szCs w:val="20"/>
          <w:lang w:val="uk-UA"/>
        </w:rPr>
        <w:t>н</w:t>
      </w:r>
      <w:proofErr w:type="spellEnd"/>
      <w:r w:rsidR="00FE5B6E">
        <w:rPr>
          <w:b/>
          <w:sz w:val="20"/>
          <w:szCs w:val="20"/>
          <w:lang w:val="uk-UA"/>
        </w:rPr>
        <w:t>.</w:t>
      </w:r>
      <w:r w:rsidR="001D6250" w:rsidRPr="00E1743A">
        <w:rPr>
          <w:b/>
          <w:sz w:val="20"/>
          <w:szCs w:val="20"/>
          <w:lang w:val="uk-UA"/>
        </w:rPr>
        <w:t>, доцент</w:t>
      </w:r>
      <w:r w:rsidRPr="00E1743A">
        <w:rPr>
          <w:b/>
          <w:sz w:val="20"/>
          <w:szCs w:val="20"/>
          <w:lang w:val="uk-UA"/>
        </w:rPr>
        <w:t xml:space="preserve"> </w:t>
      </w:r>
      <w:r w:rsidR="001D6250" w:rsidRPr="00E1743A">
        <w:rPr>
          <w:b/>
          <w:sz w:val="20"/>
          <w:szCs w:val="20"/>
          <w:lang w:val="uk-UA"/>
        </w:rPr>
        <w:t>(</w:t>
      </w:r>
      <w:proofErr w:type="spellStart"/>
      <w:r w:rsidRPr="00E1743A">
        <w:rPr>
          <w:b/>
          <w:sz w:val="20"/>
          <w:szCs w:val="20"/>
          <w:lang w:val="uk-UA"/>
        </w:rPr>
        <w:t>Західнопоморський</w:t>
      </w:r>
      <w:proofErr w:type="spellEnd"/>
      <w:r w:rsidRPr="00E1743A">
        <w:rPr>
          <w:b/>
          <w:sz w:val="20"/>
          <w:szCs w:val="20"/>
          <w:lang w:val="uk-UA"/>
        </w:rPr>
        <w:t xml:space="preserve"> технологічний університет у Щецині, Щецин, Польща</w:t>
      </w:r>
      <w:r w:rsidR="001D6250" w:rsidRPr="00E1743A">
        <w:rPr>
          <w:b/>
          <w:sz w:val="20"/>
          <w:szCs w:val="20"/>
          <w:lang w:val="uk-UA"/>
        </w:rPr>
        <w:t xml:space="preserve">), </w:t>
      </w:r>
      <w:r w:rsidRPr="00E1743A">
        <w:rPr>
          <w:b/>
          <w:sz w:val="20"/>
          <w:szCs w:val="20"/>
          <w:lang w:val="uk-UA"/>
        </w:rPr>
        <w:t>М.С.</w:t>
      </w:r>
      <w:r w:rsidR="00524970">
        <w:rPr>
          <w:b/>
          <w:sz w:val="20"/>
          <w:szCs w:val="20"/>
          <w:lang w:val="uk-UA"/>
        </w:rPr>
        <w:t> </w:t>
      </w:r>
      <w:r w:rsidRPr="00E1743A">
        <w:rPr>
          <w:b/>
          <w:sz w:val="20"/>
          <w:szCs w:val="20"/>
          <w:lang w:val="uk-UA"/>
        </w:rPr>
        <w:t xml:space="preserve">Гудименко, </w:t>
      </w:r>
      <w:r>
        <w:rPr>
          <w:b/>
          <w:sz w:val="20"/>
          <w:szCs w:val="20"/>
          <w:lang w:val="uk-UA"/>
        </w:rPr>
        <w:t>а</w:t>
      </w:r>
      <w:r w:rsidRPr="00E1743A">
        <w:rPr>
          <w:b/>
          <w:sz w:val="20"/>
          <w:szCs w:val="20"/>
          <w:lang w:val="uk-UA"/>
        </w:rPr>
        <w:t>спірант</w:t>
      </w:r>
      <w:r w:rsidR="00042DE0" w:rsidRPr="00042DE0">
        <w:rPr>
          <w:b/>
          <w:sz w:val="20"/>
          <w:szCs w:val="20"/>
          <w:lang w:val="uk-UA"/>
        </w:rPr>
        <w:t xml:space="preserve">, </w:t>
      </w:r>
      <w:proofErr w:type="spellStart"/>
      <w:r w:rsidR="00042DE0" w:rsidRPr="00042DE0">
        <w:rPr>
          <w:b/>
          <w:sz w:val="20"/>
          <w:szCs w:val="20"/>
          <w:lang w:val="uk-UA"/>
        </w:rPr>
        <w:t>Юй</w:t>
      </w:r>
      <w:proofErr w:type="spellEnd"/>
      <w:r w:rsidR="00042DE0" w:rsidRPr="00042DE0">
        <w:rPr>
          <w:b/>
          <w:sz w:val="20"/>
          <w:szCs w:val="20"/>
          <w:lang w:val="uk-UA"/>
        </w:rPr>
        <w:t xml:space="preserve"> </w:t>
      </w:r>
      <w:proofErr w:type="spellStart"/>
      <w:r w:rsidR="00042DE0" w:rsidRPr="00042DE0">
        <w:rPr>
          <w:b/>
          <w:sz w:val="20"/>
          <w:szCs w:val="20"/>
          <w:lang w:val="uk-UA"/>
        </w:rPr>
        <w:t>Вей</w:t>
      </w:r>
      <w:proofErr w:type="spellEnd"/>
      <w:r w:rsidR="00042DE0" w:rsidRPr="00042DE0">
        <w:rPr>
          <w:b/>
          <w:sz w:val="20"/>
          <w:szCs w:val="20"/>
          <w:lang w:val="uk-UA"/>
        </w:rPr>
        <w:t xml:space="preserve">, </w:t>
      </w:r>
      <w:r w:rsidR="00042DE0">
        <w:rPr>
          <w:b/>
          <w:sz w:val="20"/>
          <w:szCs w:val="20"/>
          <w:lang w:val="uk-UA"/>
        </w:rPr>
        <w:t>а</w:t>
      </w:r>
      <w:r w:rsidR="00042DE0" w:rsidRPr="00E1743A">
        <w:rPr>
          <w:b/>
          <w:sz w:val="20"/>
          <w:szCs w:val="20"/>
          <w:lang w:val="uk-UA"/>
        </w:rPr>
        <w:t>спірант</w:t>
      </w:r>
      <w:r w:rsidR="001D6250" w:rsidRPr="00E1743A">
        <w:rPr>
          <w:b/>
          <w:sz w:val="20"/>
          <w:szCs w:val="20"/>
          <w:lang w:val="uk-UA"/>
        </w:rPr>
        <w:t xml:space="preserve"> (</w:t>
      </w:r>
      <w:r w:rsidRPr="00E1743A">
        <w:rPr>
          <w:b/>
          <w:sz w:val="20"/>
          <w:szCs w:val="20"/>
          <w:lang w:val="uk-UA"/>
        </w:rPr>
        <w:t>Український державний університет залізничного транспорту, Харків</w:t>
      </w:r>
      <w:r w:rsidR="001D6250" w:rsidRPr="00E1743A">
        <w:rPr>
          <w:b/>
          <w:sz w:val="20"/>
          <w:szCs w:val="20"/>
          <w:lang w:val="uk-UA"/>
        </w:rPr>
        <w:t>)</w:t>
      </w:r>
    </w:p>
    <w:p w14:paraId="4F812BBA" w14:textId="77777777" w:rsidR="00524970" w:rsidRPr="00E1743A" w:rsidRDefault="00524970" w:rsidP="001D6250">
      <w:pPr>
        <w:tabs>
          <w:tab w:val="left" w:pos="0"/>
        </w:tabs>
        <w:ind w:firstLine="567"/>
        <w:jc w:val="both"/>
        <w:rPr>
          <w:b/>
          <w:sz w:val="20"/>
          <w:szCs w:val="20"/>
          <w:lang w:val="uk-UA"/>
        </w:rPr>
      </w:pPr>
    </w:p>
    <w:p w14:paraId="660747AC" w14:textId="77777777" w:rsidR="00524970" w:rsidRPr="001D6250" w:rsidRDefault="00524970" w:rsidP="00524970">
      <w:pPr>
        <w:tabs>
          <w:tab w:val="left" w:pos="0"/>
        </w:tabs>
        <w:ind w:firstLine="567"/>
        <w:jc w:val="both"/>
        <w:rPr>
          <w:b/>
          <w:sz w:val="20"/>
          <w:szCs w:val="20"/>
          <w:lang w:val="en-GB"/>
        </w:rPr>
      </w:pPr>
      <w:r w:rsidRPr="001D6250">
        <w:rPr>
          <w:b/>
          <w:sz w:val="20"/>
          <w:szCs w:val="20"/>
          <w:lang w:val="en-GB"/>
        </w:rPr>
        <w:t>O. </w:t>
      </w:r>
      <w:proofErr w:type="spellStart"/>
      <w:r w:rsidRPr="001D6250">
        <w:rPr>
          <w:b/>
          <w:sz w:val="20"/>
          <w:szCs w:val="20"/>
          <w:lang w:val="en-GB"/>
        </w:rPr>
        <w:t>Borziak</w:t>
      </w:r>
      <w:proofErr w:type="spellEnd"/>
      <w:r w:rsidRPr="001D6250">
        <w:rPr>
          <w:b/>
          <w:sz w:val="20"/>
          <w:szCs w:val="20"/>
          <w:lang w:val="en-GB"/>
        </w:rPr>
        <w:t>, DSc</w:t>
      </w:r>
      <w:r>
        <w:rPr>
          <w:b/>
          <w:sz w:val="20"/>
          <w:szCs w:val="20"/>
          <w:lang w:val="en-GB"/>
        </w:rPr>
        <w:t xml:space="preserve"> </w:t>
      </w:r>
      <w:r w:rsidRPr="00E1743A">
        <w:rPr>
          <w:b/>
          <w:sz w:val="20"/>
          <w:szCs w:val="20"/>
          <w:lang w:val="en-GB"/>
        </w:rPr>
        <w:t>(Tech.)</w:t>
      </w:r>
      <w:r w:rsidRPr="001D6250">
        <w:rPr>
          <w:b/>
          <w:sz w:val="20"/>
          <w:szCs w:val="20"/>
          <w:lang w:val="en-GB"/>
        </w:rPr>
        <w:t xml:space="preserve">, Associate Professor (West Pomeranian University of Technology in Szczecin, Poland), M. </w:t>
      </w:r>
      <w:proofErr w:type="spellStart"/>
      <w:r w:rsidRPr="001D6250">
        <w:rPr>
          <w:b/>
          <w:sz w:val="20"/>
          <w:szCs w:val="20"/>
          <w:lang w:val="en-GB"/>
        </w:rPr>
        <w:t>Hudymenko</w:t>
      </w:r>
      <w:proofErr w:type="spellEnd"/>
      <w:r w:rsidRPr="001D6250">
        <w:rPr>
          <w:b/>
          <w:sz w:val="20"/>
          <w:szCs w:val="20"/>
          <w:lang w:val="en-GB"/>
        </w:rPr>
        <w:t>, PhD student</w:t>
      </w:r>
      <w:r>
        <w:rPr>
          <w:b/>
          <w:sz w:val="20"/>
          <w:szCs w:val="20"/>
          <w:lang w:val="en-GB"/>
        </w:rPr>
        <w:t xml:space="preserve">, </w:t>
      </w:r>
      <w:r w:rsidRPr="00042DE0">
        <w:rPr>
          <w:b/>
          <w:sz w:val="20"/>
          <w:szCs w:val="20"/>
          <w:lang w:val="en-GB"/>
        </w:rPr>
        <w:t>Yu Wei, PhD student</w:t>
      </w:r>
      <w:r w:rsidRPr="001D6250">
        <w:rPr>
          <w:b/>
          <w:sz w:val="20"/>
          <w:szCs w:val="20"/>
          <w:lang w:val="en-GB"/>
        </w:rPr>
        <w:t xml:space="preserve"> (Ukrainian State University of Railway Transport, </w:t>
      </w:r>
      <w:proofErr w:type="spellStart"/>
      <w:r w:rsidRPr="001D6250">
        <w:rPr>
          <w:b/>
          <w:sz w:val="20"/>
          <w:szCs w:val="20"/>
          <w:lang w:val="en-GB"/>
        </w:rPr>
        <w:t>Kharkiv</w:t>
      </w:r>
      <w:proofErr w:type="spellEnd"/>
      <w:r w:rsidRPr="001D6250">
        <w:rPr>
          <w:b/>
          <w:sz w:val="20"/>
          <w:szCs w:val="20"/>
          <w:lang w:val="en-GB"/>
        </w:rPr>
        <w:t>)</w:t>
      </w:r>
    </w:p>
    <w:p w14:paraId="4960A095" w14:textId="77777777" w:rsidR="00806CE2" w:rsidRPr="00042DE0" w:rsidRDefault="00806CE2" w:rsidP="00806CE2">
      <w:pPr>
        <w:tabs>
          <w:tab w:val="left" w:pos="0"/>
        </w:tabs>
        <w:ind w:firstLine="567"/>
        <w:jc w:val="both"/>
        <w:rPr>
          <w:i/>
          <w:sz w:val="20"/>
          <w:szCs w:val="20"/>
          <w:highlight w:val="yellow"/>
          <w:lang w:val="uk-UA"/>
        </w:rPr>
      </w:pPr>
    </w:p>
    <w:p w14:paraId="4F4D372B" w14:textId="55ED966E" w:rsidR="001345B1" w:rsidRPr="00DF738A" w:rsidRDefault="00A662A4" w:rsidP="00806CE2">
      <w:pPr>
        <w:tabs>
          <w:tab w:val="left" w:pos="0"/>
        </w:tabs>
        <w:ind w:firstLine="567"/>
        <w:jc w:val="both"/>
        <w:rPr>
          <w:i/>
          <w:sz w:val="18"/>
          <w:szCs w:val="18"/>
          <w:lang w:val="uk-UA"/>
        </w:rPr>
      </w:pPr>
      <w:r w:rsidRPr="00DF738A">
        <w:rPr>
          <w:i/>
          <w:sz w:val="18"/>
          <w:szCs w:val="18"/>
          <w:lang w:val="uk-UA"/>
        </w:rPr>
        <w:t>У роботі проаналізовано просторові зміни продуктів сульфатної корозії в бетонних каналізаційних колекторах. На основі досліджень мікроструктури та елементного складу встановлено ступінь деградації бетону та характер корозійних процесів, що дозволяє оцінити рівень пошкодження та потенційні ризики для експлуатації каналізаційної</w:t>
      </w:r>
      <w:r w:rsidRPr="00DF738A">
        <w:rPr>
          <w:sz w:val="18"/>
          <w:szCs w:val="18"/>
          <w:lang w:val="uk-UA"/>
        </w:rPr>
        <w:t xml:space="preserve"> </w:t>
      </w:r>
      <w:r w:rsidRPr="00DF738A">
        <w:rPr>
          <w:i/>
          <w:sz w:val="18"/>
          <w:szCs w:val="18"/>
          <w:lang w:val="uk-UA"/>
        </w:rPr>
        <w:t>мережі.</w:t>
      </w:r>
    </w:p>
    <w:p w14:paraId="303C63A6" w14:textId="77777777" w:rsidR="00A662A4" w:rsidRPr="00DF738A" w:rsidRDefault="00A662A4" w:rsidP="00806CE2">
      <w:pPr>
        <w:tabs>
          <w:tab w:val="left" w:pos="0"/>
        </w:tabs>
        <w:ind w:firstLine="567"/>
        <w:jc w:val="both"/>
        <w:rPr>
          <w:i/>
          <w:sz w:val="18"/>
          <w:szCs w:val="18"/>
          <w:lang w:val="uk-UA"/>
        </w:rPr>
      </w:pPr>
    </w:p>
    <w:p w14:paraId="6311A80B" w14:textId="3034FD76" w:rsidR="00A662A4" w:rsidRPr="00DF738A" w:rsidRDefault="00A662A4" w:rsidP="00806CE2">
      <w:pPr>
        <w:tabs>
          <w:tab w:val="left" w:pos="0"/>
        </w:tabs>
        <w:ind w:firstLine="567"/>
        <w:jc w:val="both"/>
        <w:rPr>
          <w:i/>
          <w:sz w:val="18"/>
          <w:szCs w:val="18"/>
          <w:lang w:val="uk-UA"/>
        </w:rPr>
      </w:pPr>
      <w:r w:rsidRPr="00DF738A">
        <w:rPr>
          <w:i/>
          <w:sz w:val="18"/>
          <w:szCs w:val="18"/>
          <w:lang w:val="en-US"/>
        </w:rPr>
        <w:t>The study analyzes the spatial distribution of sulfate corrosion products in concrete sewer collectors. Based on microstructure and elemental composition studies, the degree of concrete degradation and the nature of corrosion processes were determined, allowing for an assessment of the damage level and potential risks to network operation.</w:t>
      </w:r>
    </w:p>
    <w:p w14:paraId="4CFD593E" w14:textId="77777777" w:rsidR="001345B1" w:rsidRPr="00DF738A" w:rsidRDefault="001345B1" w:rsidP="00806CE2">
      <w:pPr>
        <w:tabs>
          <w:tab w:val="left" w:pos="0"/>
        </w:tabs>
        <w:ind w:firstLine="567"/>
        <w:jc w:val="both"/>
        <w:rPr>
          <w:i/>
          <w:sz w:val="20"/>
          <w:szCs w:val="20"/>
          <w:lang w:val="uk-UA"/>
        </w:rPr>
      </w:pPr>
    </w:p>
    <w:p w14:paraId="7A7C6BEF" w14:textId="0EA25957" w:rsidR="009F1BA4" w:rsidRDefault="00E03BFB" w:rsidP="006F353F">
      <w:pPr>
        <w:ind w:firstLine="567"/>
        <w:jc w:val="both"/>
        <w:rPr>
          <w:sz w:val="20"/>
          <w:szCs w:val="20"/>
          <w:highlight w:val="yellow"/>
          <w:lang w:val="uk-UA"/>
        </w:rPr>
      </w:pPr>
      <w:r w:rsidRPr="00DF738A">
        <w:rPr>
          <w:sz w:val="20"/>
          <w:szCs w:val="20"/>
          <w:lang w:val="uk-UA"/>
        </w:rPr>
        <w:t>Основною</w:t>
      </w:r>
      <w:r w:rsidRPr="00E03BFB">
        <w:rPr>
          <w:sz w:val="20"/>
          <w:szCs w:val="20"/>
          <w:lang w:val="uk-UA"/>
        </w:rPr>
        <w:t xml:space="preserve"> причиною корозійних ушкоджень у каналізаційних системах є </w:t>
      </w:r>
      <w:proofErr w:type="spellStart"/>
      <w:r w:rsidRPr="00E03BFB">
        <w:rPr>
          <w:sz w:val="20"/>
          <w:szCs w:val="20"/>
          <w:lang w:val="uk-UA"/>
        </w:rPr>
        <w:t>біокорозія</w:t>
      </w:r>
      <w:proofErr w:type="spellEnd"/>
      <w:r w:rsidRPr="00E03BFB">
        <w:rPr>
          <w:sz w:val="20"/>
          <w:szCs w:val="20"/>
          <w:lang w:val="uk-UA"/>
        </w:rPr>
        <w:t xml:space="preserve">, яка спричинена окисленням </w:t>
      </w:r>
      <w:proofErr w:type="spellStart"/>
      <w:r w:rsidRPr="00E03BFB">
        <w:rPr>
          <w:sz w:val="20"/>
          <w:szCs w:val="20"/>
          <w:lang w:val="uk-UA"/>
        </w:rPr>
        <w:t>сполук</w:t>
      </w:r>
      <w:proofErr w:type="spellEnd"/>
      <w:r w:rsidRPr="00E03BFB">
        <w:rPr>
          <w:sz w:val="20"/>
          <w:szCs w:val="20"/>
          <w:lang w:val="uk-UA"/>
        </w:rPr>
        <w:t xml:space="preserve"> сірки до сірчаної кислоти </w:t>
      </w:r>
      <w:proofErr w:type="spellStart"/>
      <w:r w:rsidRPr="00E03BFB">
        <w:rPr>
          <w:sz w:val="20"/>
          <w:szCs w:val="20"/>
          <w:lang w:val="uk-UA"/>
        </w:rPr>
        <w:t>тіогенними</w:t>
      </w:r>
      <w:proofErr w:type="spellEnd"/>
      <w:r w:rsidRPr="00E03BFB">
        <w:rPr>
          <w:sz w:val="20"/>
          <w:szCs w:val="20"/>
          <w:lang w:val="uk-UA"/>
        </w:rPr>
        <w:t xml:space="preserve"> (</w:t>
      </w:r>
      <w:proofErr w:type="spellStart"/>
      <w:r w:rsidRPr="00E03BFB">
        <w:rPr>
          <w:sz w:val="20"/>
          <w:szCs w:val="20"/>
          <w:lang w:val="uk-UA"/>
        </w:rPr>
        <w:t>сіркоутворюючими</w:t>
      </w:r>
      <w:proofErr w:type="spellEnd"/>
      <w:r w:rsidRPr="00E03BFB">
        <w:rPr>
          <w:sz w:val="20"/>
          <w:szCs w:val="20"/>
          <w:lang w:val="uk-UA"/>
        </w:rPr>
        <w:t xml:space="preserve">) бактеріями. Механізм біогенної корозії під дією сірчаної кислоти ось у чому. Бетон має </w:t>
      </w:r>
      <w:proofErr w:type="spellStart"/>
      <w:r w:rsidRPr="00E03BFB">
        <w:rPr>
          <w:sz w:val="20"/>
          <w:szCs w:val="20"/>
          <w:lang w:val="uk-UA"/>
        </w:rPr>
        <w:t>сильнолужне</w:t>
      </w:r>
      <w:proofErr w:type="spellEnd"/>
      <w:r w:rsidRPr="00E03BFB">
        <w:rPr>
          <w:sz w:val="20"/>
          <w:szCs w:val="20"/>
          <w:lang w:val="uk-UA"/>
        </w:rPr>
        <w:t xml:space="preserve"> середовище (</w:t>
      </w:r>
      <w:proofErr w:type="spellStart"/>
      <w:r w:rsidRPr="00E03BFB">
        <w:rPr>
          <w:sz w:val="20"/>
          <w:szCs w:val="20"/>
          <w:lang w:val="uk-UA"/>
        </w:rPr>
        <w:t>pH</w:t>
      </w:r>
      <w:proofErr w:type="spellEnd"/>
      <w:r w:rsidRPr="00E03BFB">
        <w:rPr>
          <w:sz w:val="20"/>
          <w:szCs w:val="20"/>
          <w:lang w:val="uk-UA"/>
        </w:rPr>
        <w:t xml:space="preserve"> &gt; 12), що не сприяє зростанню корозійних бактерій. Однак карбонізація знижує лужність до </w:t>
      </w:r>
      <w:proofErr w:type="spellStart"/>
      <w:r w:rsidRPr="00E03BFB">
        <w:rPr>
          <w:sz w:val="20"/>
          <w:szCs w:val="20"/>
          <w:lang w:val="uk-UA"/>
        </w:rPr>
        <w:t>pH</w:t>
      </w:r>
      <w:proofErr w:type="spellEnd"/>
      <w:r w:rsidRPr="00E03BFB">
        <w:rPr>
          <w:sz w:val="20"/>
          <w:szCs w:val="20"/>
          <w:lang w:val="uk-UA"/>
        </w:rPr>
        <w:t xml:space="preserve"> &lt; 9. У цьому середовищі процвітають такі види бактерій: </w:t>
      </w:r>
      <w:proofErr w:type="spellStart"/>
      <w:r w:rsidRPr="00E03BFB">
        <w:rPr>
          <w:sz w:val="20"/>
          <w:szCs w:val="20"/>
          <w:lang w:val="uk-UA"/>
        </w:rPr>
        <w:t>Thiobacillus</w:t>
      </w:r>
      <w:proofErr w:type="spellEnd"/>
      <w:r w:rsidRPr="00E03BFB">
        <w:rPr>
          <w:sz w:val="20"/>
          <w:szCs w:val="20"/>
          <w:lang w:val="uk-UA"/>
        </w:rPr>
        <w:t xml:space="preserve"> </w:t>
      </w:r>
      <w:proofErr w:type="spellStart"/>
      <w:r w:rsidRPr="00E03BFB">
        <w:rPr>
          <w:sz w:val="20"/>
          <w:szCs w:val="20"/>
          <w:lang w:val="uk-UA"/>
        </w:rPr>
        <w:t>novellas</w:t>
      </w:r>
      <w:proofErr w:type="spellEnd"/>
      <w:r w:rsidRPr="00E03BFB">
        <w:rPr>
          <w:sz w:val="20"/>
          <w:szCs w:val="20"/>
          <w:lang w:val="uk-UA"/>
        </w:rPr>
        <w:t xml:space="preserve">, </w:t>
      </w:r>
      <w:proofErr w:type="spellStart"/>
      <w:r w:rsidRPr="00E03BFB">
        <w:rPr>
          <w:sz w:val="20"/>
          <w:szCs w:val="20"/>
          <w:lang w:val="uk-UA"/>
        </w:rPr>
        <w:t>Thiobacillus</w:t>
      </w:r>
      <w:proofErr w:type="spellEnd"/>
      <w:r w:rsidRPr="00E03BFB">
        <w:rPr>
          <w:sz w:val="20"/>
          <w:szCs w:val="20"/>
          <w:lang w:val="uk-UA"/>
        </w:rPr>
        <w:t xml:space="preserve"> </w:t>
      </w:r>
      <w:proofErr w:type="spellStart"/>
      <w:r w:rsidRPr="00E03BFB">
        <w:rPr>
          <w:sz w:val="20"/>
          <w:szCs w:val="20"/>
          <w:lang w:val="uk-UA"/>
        </w:rPr>
        <w:t>neapolitanus</w:t>
      </w:r>
      <w:proofErr w:type="spellEnd"/>
      <w:r w:rsidRPr="00E03BFB">
        <w:rPr>
          <w:sz w:val="20"/>
          <w:szCs w:val="20"/>
          <w:lang w:val="uk-UA"/>
        </w:rPr>
        <w:t xml:space="preserve"> та </w:t>
      </w:r>
      <w:proofErr w:type="spellStart"/>
      <w:r w:rsidRPr="00E03BFB">
        <w:rPr>
          <w:sz w:val="20"/>
          <w:szCs w:val="20"/>
          <w:lang w:val="uk-UA"/>
        </w:rPr>
        <w:t>Thiobacillus</w:t>
      </w:r>
      <w:proofErr w:type="spellEnd"/>
      <w:r w:rsidRPr="00E03BFB">
        <w:rPr>
          <w:sz w:val="20"/>
          <w:szCs w:val="20"/>
          <w:lang w:val="uk-UA"/>
        </w:rPr>
        <w:t xml:space="preserve"> </w:t>
      </w:r>
      <w:proofErr w:type="spellStart"/>
      <w:r w:rsidRPr="00E03BFB">
        <w:rPr>
          <w:sz w:val="20"/>
          <w:szCs w:val="20"/>
          <w:lang w:val="uk-UA"/>
        </w:rPr>
        <w:t>thioparus</w:t>
      </w:r>
      <w:proofErr w:type="spellEnd"/>
      <w:r w:rsidRPr="00E03BFB">
        <w:rPr>
          <w:sz w:val="20"/>
          <w:szCs w:val="20"/>
          <w:lang w:val="uk-UA"/>
        </w:rPr>
        <w:t xml:space="preserve">. Активна діяльність бактерій призводить до подальшого зниження лужності поверхні бетону до </w:t>
      </w:r>
      <w:proofErr w:type="spellStart"/>
      <w:r w:rsidRPr="00E03BFB">
        <w:rPr>
          <w:sz w:val="20"/>
          <w:szCs w:val="20"/>
          <w:lang w:val="uk-UA"/>
        </w:rPr>
        <w:t>pH</w:t>
      </w:r>
      <w:proofErr w:type="spellEnd"/>
      <w:r w:rsidRPr="00E03BFB">
        <w:rPr>
          <w:sz w:val="20"/>
          <w:szCs w:val="20"/>
          <w:lang w:val="uk-UA"/>
        </w:rPr>
        <w:t xml:space="preserve"> &lt; 5</w:t>
      </w:r>
      <w:r w:rsidR="007043F5">
        <w:rPr>
          <w:sz w:val="20"/>
          <w:szCs w:val="20"/>
          <w:lang w:val="uk-UA"/>
        </w:rPr>
        <w:t xml:space="preserve"> </w:t>
      </w:r>
      <w:r w:rsidR="007043F5">
        <w:rPr>
          <w:sz w:val="20"/>
          <w:szCs w:val="20"/>
          <w:lang w:val="pl-PL"/>
        </w:rPr>
        <w:t>[1,</w:t>
      </w:r>
      <w:r w:rsidR="00DF738A">
        <w:rPr>
          <w:sz w:val="20"/>
          <w:szCs w:val="20"/>
          <w:lang w:val="uk-UA"/>
        </w:rPr>
        <w:t xml:space="preserve"> </w:t>
      </w:r>
      <w:r w:rsidR="007043F5">
        <w:rPr>
          <w:sz w:val="20"/>
          <w:szCs w:val="20"/>
          <w:lang w:val="pl-PL"/>
        </w:rPr>
        <w:t>2]</w:t>
      </w:r>
      <w:r w:rsidRPr="00E03BFB">
        <w:rPr>
          <w:sz w:val="20"/>
          <w:szCs w:val="20"/>
          <w:lang w:val="uk-UA"/>
        </w:rPr>
        <w:t>.</w:t>
      </w:r>
    </w:p>
    <w:p w14:paraId="722431DC" w14:textId="622CCADC" w:rsidR="00DF738A" w:rsidRDefault="007043F5" w:rsidP="006F353F">
      <w:pPr>
        <w:ind w:firstLine="567"/>
        <w:jc w:val="both"/>
        <w:rPr>
          <w:sz w:val="20"/>
          <w:szCs w:val="20"/>
          <w:highlight w:val="yellow"/>
          <w:lang w:val="uk-UA"/>
        </w:rPr>
      </w:pPr>
      <w:r w:rsidRPr="007043F5">
        <w:rPr>
          <w:sz w:val="20"/>
          <w:szCs w:val="20"/>
          <w:lang w:val="uk-UA"/>
        </w:rPr>
        <w:t xml:space="preserve">Біогенна сірчана кислота, що утворюється, викликає руйнування бетону, у тому числі утворення гіпсу і </w:t>
      </w:r>
      <w:proofErr w:type="spellStart"/>
      <w:r w:rsidRPr="007043F5">
        <w:rPr>
          <w:sz w:val="20"/>
          <w:szCs w:val="20"/>
          <w:lang w:val="uk-UA"/>
        </w:rPr>
        <w:t>еттрингіту</w:t>
      </w:r>
      <w:proofErr w:type="spellEnd"/>
      <w:r w:rsidRPr="007043F5">
        <w:rPr>
          <w:sz w:val="20"/>
          <w:szCs w:val="20"/>
          <w:lang w:val="uk-UA"/>
        </w:rPr>
        <w:t>:</w:t>
      </w:r>
    </w:p>
    <w:p w14:paraId="0D371878" w14:textId="3F7D6A29" w:rsidR="00E03BFB" w:rsidRDefault="007043F5" w:rsidP="007043F5">
      <w:pPr>
        <w:jc w:val="center"/>
        <w:rPr>
          <w:color w:val="0E2740"/>
          <w:sz w:val="20"/>
          <w:szCs w:val="20"/>
          <w:vertAlign w:val="subscript"/>
          <w:lang w:val="pl-PL"/>
        </w:rPr>
      </w:pPr>
      <w:r w:rsidRPr="007043F5">
        <w:rPr>
          <w:i/>
          <w:iCs/>
          <w:color w:val="0E2740"/>
          <w:sz w:val="20"/>
          <w:szCs w:val="20"/>
          <w:lang w:val="ru"/>
        </w:rPr>
        <w:t>СаСО</w:t>
      </w:r>
      <w:r w:rsidRPr="007043F5">
        <w:rPr>
          <w:color w:val="0E2740"/>
          <w:sz w:val="20"/>
          <w:szCs w:val="20"/>
          <w:vertAlign w:val="subscript"/>
          <w:lang w:val="ru"/>
        </w:rPr>
        <w:t>3</w:t>
      </w:r>
      <w:r w:rsidRPr="007043F5">
        <w:rPr>
          <w:color w:val="0E2740"/>
          <w:sz w:val="20"/>
          <w:szCs w:val="20"/>
          <w:lang w:val="ru"/>
        </w:rPr>
        <w:t xml:space="preserve"> + </w:t>
      </w:r>
      <w:r w:rsidRPr="007043F5">
        <w:rPr>
          <w:i/>
          <w:iCs/>
          <w:color w:val="0E2740"/>
          <w:sz w:val="20"/>
          <w:szCs w:val="20"/>
          <w:lang w:val="pl-PL"/>
        </w:rPr>
        <w:t>H</w:t>
      </w:r>
      <w:r w:rsidRPr="007043F5">
        <w:rPr>
          <w:color w:val="0E2740"/>
          <w:sz w:val="20"/>
          <w:szCs w:val="20"/>
          <w:vertAlign w:val="subscript"/>
          <w:lang w:val="ru"/>
        </w:rPr>
        <w:t>2</w:t>
      </w:r>
      <w:r w:rsidRPr="007043F5">
        <w:rPr>
          <w:i/>
          <w:iCs/>
          <w:color w:val="0E2740"/>
          <w:sz w:val="20"/>
          <w:szCs w:val="20"/>
          <w:lang w:val="pl-PL"/>
        </w:rPr>
        <w:t>SO</w:t>
      </w:r>
      <w:r w:rsidRPr="007043F5">
        <w:rPr>
          <w:color w:val="0E2740"/>
          <w:sz w:val="20"/>
          <w:szCs w:val="20"/>
          <w:vertAlign w:val="subscript"/>
          <w:lang w:val="ru"/>
        </w:rPr>
        <w:t>4</w:t>
      </w:r>
      <w:r w:rsidRPr="007043F5">
        <w:rPr>
          <w:color w:val="0E2740"/>
          <w:sz w:val="20"/>
          <w:szCs w:val="20"/>
          <w:lang w:val="ru"/>
        </w:rPr>
        <w:t xml:space="preserve"> + </w:t>
      </w:r>
      <w:r w:rsidRPr="007043F5">
        <w:rPr>
          <w:i/>
          <w:iCs/>
          <w:color w:val="0E2740"/>
          <w:sz w:val="20"/>
          <w:szCs w:val="20"/>
          <w:lang w:val="ru"/>
        </w:rPr>
        <w:t>Н</w:t>
      </w:r>
      <w:r w:rsidRPr="007043F5">
        <w:rPr>
          <w:color w:val="0E2740"/>
          <w:sz w:val="20"/>
          <w:szCs w:val="20"/>
          <w:vertAlign w:val="subscript"/>
          <w:lang w:val="ru"/>
        </w:rPr>
        <w:t>2</w:t>
      </w:r>
      <w:r w:rsidRPr="007043F5">
        <w:rPr>
          <w:i/>
          <w:iCs/>
          <w:color w:val="0E2740"/>
          <w:sz w:val="20"/>
          <w:szCs w:val="20"/>
          <w:lang w:val="ru"/>
        </w:rPr>
        <w:t>О</w:t>
      </w:r>
      <w:r w:rsidRPr="007043F5">
        <w:rPr>
          <w:color w:val="0E2740"/>
          <w:sz w:val="20"/>
          <w:szCs w:val="20"/>
          <w:lang w:val="ru"/>
        </w:rPr>
        <w:t xml:space="preserve"> → </w:t>
      </w:r>
      <w:r w:rsidRPr="007043F5">
        <w:rPr>
          <w:i/>
          <w:iCs/>
          <w:color w:val="0E2740"/>
          <w:sz w:val="20"/>
          <w:szCs w:val="20"/>
          <w:lang w:val="pl-PL"/>
        </w:rPr>
        <w:t>CaSO</w:t>
      </w:r>
      <w:r w:rsidRPr="007043F5">
        <w:rPr>
          <w:color w:val="0E2740"/>
          <w:sz w:val="20"/>
          <w:szCs w:val="20"/>
          <w:vertAlign w:val="subscript"/>
          <w:lang w:val="ru"/>
        </w:rPr>
        <w:t>4</w:t>
      </w:r>
      <w:r w:rsidRPr="007043F5">
        <w:rPr>
          <w:rFonts w:ascii="Symbol" w:eastAsia="Symbol" w:hAnsi="Symbol" w:cs="Symbol"/>
          <w:color w:val="0E2740"/>
          <w:sz w:val="20"/>
          <w:szCs w:val="20"/>
          <w:lang w:val="ru"/>
        </w:rPr>
        <w:t></w:t>
      </w:r>
      <w:r w:rsidRPr="007043F5">
        <w:rPr>
          <w:color w:val="0E2740"/>
          <w:sz w:val="20"/>
          <w:szCs w:val="20"/>
          <w:lang w:val="ru"/>
        </w:rPr>
        <w:t>2</w:t>
      </w:r>
      <w:r w:rsidRPr="007043F5">
        <w:rPr>
          <w:i/>
          <w:iCs/>
          <w:color w:val="0E2740"/>
          <w:sz w:val="20"/>
          <w:szCs w:val="20"/>
          <w:lang w:val="ru"/>
        </w:rPr>
        <w:t>Н</w:t>
      </w:r>
      <w:r w:rsidRPr="007043F5">
        <w:rPr>
          <w:color w:val="0E2740"/>
          <w:sz w:val="20"/>
          <w:szCs w:val="20"/>
          <w:vertAlign w:val="subscript"/>
          <w:lang w:val="ru"/>
        </w:rPr>
        <w:t>2</w:t>
      </w:r>
      <w:r w:rsidRPr="007043F5">
        <w:rPr>
          <w:i/>
          <w:iCs/>
          <w:color w:val="0E2740"/>
          <w:sz w:val="20"/>
          <w:szCs w:val="20"/>
          <w:lang w:val="ru"/>
        </w:rPr>
        <w:t>О</w:t>
      </w:r>
      <w:r w:rsidRPr="007043F5">
        <w:rPr>
          <w:color w:val="0E2740"/>
          <w:sz w:val="20"/>
          <w:szCs w:val="20"/>
          <w:lang w:val="ru"/>
        </w:rPr>
        <w:t xml:space="preserve"> + </w:t>
      </w:r>
      <w:r w:rsidRPr="007043F5">
        <w:rPr>
          <w:i/>
          <w:iCs/>
          <w:color w:val="0E2740"/>
          <w:sz w:val="20"/>
          <w:szCs w:val="20"/>
          <w:lang w:val="ru"/>
        </w:rPr>
        <w:t>СО</w:t>
      </w:r>
      <w:r w:rsidRPr="007043F5">
        <w:rPr>
          <w:color w:val="0E2740"/>
          <w:sz w:val="20"/>
          <w:szCs w:val="20"/>
          <w:vertAlign w:val="subscript"/>
          <w:lang w:val="ru"/>
        </w:rPr>
        <w:t>2</w:t>
      </w:r>
    </w:p>
    <w:p w14:paraId="17C106B2" w14:textId="7199B995" w:rsidR="007043F5" w:rsidRPr="007043F5" w:rsidRDefault="007043F5" w:rsidP="007043F5">
      <w:pPr>
        <w:ind w:firstLine="567"/>
        <w:jc w:val="both"/>
        <w:rPr>
          <w:sz w:val="20"/>
          <w:szCs w:val="20"/>
          <w:lang w:val="pl-PL"/>
        </w:rPr>
      </w:pPr>
      <w:r w:rsidRPr="007043F5">
        <w:rPr>
          <w:sz w:val="20"/>
          <w:szCs w:val="20"/>
          <w:lang w:val="pl-PL"/>
        </w:rPr>
        <w:t xml:space="preserve">Кінцевим механізмом руйнування бетону, згідно з цими закономірностями, є кислотно-сольова корозія сульфатного типу. Отже, в </w:t>
      </w:r>
      <w:r w:rsidRPr="007043F5">
        <w:rPr>
          <w:sz w:val="20"/>
          <w:szCs w:val="20"/>
          <w:lang w:val="pl-PL"/>
        </w:rPr>
        <w:lastRenderedPageBreak/>
        <w:t>конструкціях, схильних до біокорозії, очікується поява таких продуктів корозії, як еттрингіт і гіпс.</w:t>
      </w:r>
    </w:p>
    <w:p w14:paraId="44864670" w14:textId="6AA01FC8" w:rsidR="009E41D1" w:rsidRDefault="00E03BFB" w:rsidP="00E03BFB">
      <w:pPr>
        <w:ind w:firstLine="567"/>
        <w:jc w:val="both"/>
        <w:rPr>
          <w:sz w:val="20"/>
          <w:szCs w:val="20"/>
          <w:lang w:val="uk-UA"/>
        </w:rPr>
      </w:pPr>
      <w:r w:rsidRPr="00E03BFB">
        <w:rPr>
          <w:sz w:val="20"/>
          <w:szCs w:val="20"/>
          <w:lang w:val="uk-UA"/>
        </w:rPr>
        <w:t>Метою дослідження було визначення ступеня зношування бетонної каналізаційної камери. Камера є місцем з'єднання об'єднаних потоків стічних вод.</w:t>
      </w:r>
      <w:r w:rsidR="000F0D9D">
        <w:rPr>
          <w:sz w:val="20"/>
          <w:szCs w:val="20"/>
          <w:lang w:val="uk-UA"/>
        </w:rPr>
        <w:t xml:space="preserve"> </w:t>
      </w:r>
      <w:r w:rsidR="007043F5" w:rsidRPr="007043F5">
        <w:rPr>
          <w:sz w:val="20"/>
          <w:szCs w:val="20"/>
          <w:lang w:val="pl-PL"/>
        </w:rPr>
        <w:t>Для визначення співвідношення вихідних компонентів цементного каменю та продуктів корозії було визначено структуру та мінеральний склад зразків бетону. Визначення цього співвідношення дозволить оцінити рівень пошкодження досліджуваних конструкцій каналізаційної мережі.</w:t>
      </w:r>
      <w:r w:rsidR="000F0D9D">
        <w:rPr>
          <w:sz w:val="20"/>
          <w:szCs w:val="20"/>
          <w:lang w:val="uk-UA"/>
        </w:rPr>
        <w:t xml:space="preserve"> </w:t>
      </w:r>
      <w:r w:rsidR="007043F5">
        <w:rPr>
          <w:sz w:val="20"/>
          <w:szCs w:val="20"/>
          <w:lang w:val="uk-UA"/>
        </w:rPr>
        <w:t xml:space="preserve">За </w:t>
      </w:r>
      <w:r w:rsidR="007043F5" w:rsidRPr="007043F5">
        <w:rPr>
          <w:sz w:val="20"/>
          <w:szCs w:val="20"/>
          <w:lang w:val="pl-PL"/>
        </w:rPr>
        <w:t xml:space="preserve">допомогою скануючого електронного мікроскопу Hitachi TM3000 з насадкою EDS-Bruker для визначення елементного складу </w:t>
      </w:r>
      <w:r w:rsidR="007043F5">
        <w:rPr>
          <w:sz w:val="20"/>
          <w:szCs w:val="20"/>
          <w:lang w:val="uk-UA"/>
        </w:rPr>
        <w:t>б</w:t>
      </w:r>
      <w:r w:rsidRPr="007043F5">
        <w:rPr>
          <w:sz w:val="20"/>
          <w:szCs w:val="20"/>
          <w:lang w:val="pl-PL"/>
        </w:rPr>
        <w:t>ули</w:t>
      </w:r>
      <w:r w:rsidRPr="00E03BFB">
        <w:rPr>
          <w:sz w:val="20"/>
          <w:szCs w:val="20"/>
          <w:lang w:val="uk-UA"/>
        </w:rPr>
        <w:t xml:space="preserve"> проведені дослідження мікроструктури та елементного складу зразків, відібраних зі стін та склепіння камер</w:t>
      </w:r>
      <w:r w:rsidR="007043F5">
        <w:rPr>
          <w:sz w:val="20"/>
          <w:szCs w:val="20"/>
          <w:lang w:val="uk-UA"/>
        </w:rPr>
        <w:t>и, рис. 1</w:t>
      </w:r>
      <w:r w:rsidRPr="00E03BFB">
        <w:rPr>
          <w:sz w:val="20"/>
          <w:szCs w:val="20"/>
          <w:lang w:val="uk-UA"/>
        </w:rPr>
        <w:t>.</w:t>
      </w:r>
    </w:p>
    <w:p w14:paraId="1BF01FC3" w14:textId="77777777" w:rsidR="00DF738A" w:rsidRDefault="00DF738A" w:rsidP="00E03BFB">
      <w:pPr>
        <w:ind w:firstLine="567"/>
        <w:jc w:val="both"/>
        <w:rPr>
          <w:sz w:val="20"/>
          <w:szCs w:val="20"/>
          <w:lang w:val="uk-UA"/>
        </w:rPr>
      </w:pPr>
    </w:p>
    <w:p w14:paraId="68662B60" w14:textId="20A988D8" w:rsidR="00C94DA4" w:rsidRPr="00C94DA4" w:rsidRDefault="00C94DA4" w:rsidP="00C94DA4">
      <w:pPr>
        <w:jc w:val="center"/>
        <w:rPr>
          <w:sz w:val="20"/>
          <w:szCs w:val="20"/>
          <w:lang w:val="en-US"/>
        </w:rPr>
      </w:pPr>
      <w:r w:rsidRPr="00C94DA4">
        <w:rPr>
          <w:noProof/>
          <w:sz w:val="20"/>
          <w:szCs w:val="20"/>
          <w:lang w:val="uk-UA" w:eastAsia="uk-UA"/>
        </w:rPr>
        <w:drawing>
          <wp:inline distT="0" distB="0" distL="0" distR="0" wp14:anchorId="51B2A92F" wp14:editId="4968F01A">
            <wp:extent cx="1696702" cy="1455845"/>
            <wp:effectExtent l="0" t="0" r="0" b="0"/>
            <wp:docPr id="2019876863" name="Рисунок 4" descr="Изображение выглядит как зарисовка,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76863" name="Рисунок 4" descr="Изображение выглядит как зарисовка,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118" cy="1465641"/>
                    </a:xfrm>
                    <a:prstGeom prst="rect">
                      <a:avLst/>
                    </a:prstGeom>
                    <a:noFill/>
                    <a:ln>
                      <a:noFill/>
                    </a:ln>
                  </pic:spPr>
                </pic:pic>
              </a:graphicData>
            </a:graphic>
          </wp:inline>
        </w:drawing>
      </w:r>
      <w:r w:rsidRPr="00C94DA4">
        <w:rPr>
          <w:sz w:val="20"/>
          <w:szCs w:val="20"/>
          <w:lang w:val="en-US"/>
        </w:rPr>
        <w:t xml:space="preserve">     </w:t>
      </w:r>
      <w:r w:rsidRPr="00C94DA4">
        <w:rPr>
          <w:noProof/>
          <w:lang w:val="uk-UA" w:eastAsia="uk-UA"/>
        </w:rPr>
        <w:drawing>
          <wp:inline distT="0" distB="0" distL="0" distR="0" wp14:anchorId="420EAC5D" wp14:editId="725692E8">
            <wp:extent cx="1939271" cy="1287145"/>
            <wp:effectExtent l="0" t="0" r="4445" b="8255"/>
            <wp:docPr id="1168639589" name="Рисунок 1" descr="Изображение выглядит как текст, снимок экрана, диаграмма, Графи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39589" name="Рисунок 1" descr="Изображение выглядит как текст, снимок экрана, диаграмма, График&#10;&#10;Содержимое, созданное искусственным интеллектом, может быть неверным."/>
                    <pic:cNvPicPr/>
                  </pic:nvPicPr>
                  <pic:blipFill>
                    <a:blip r:embed="rId9"/>
                    <a:stretch>
                      <a:fillRect/>
                    </a:stretch>
                  </pic:blipFill>
                  <pic:spPr>
                    <a:xfrm>
                      <a:off x="0" y="0"/>
                      <a:ext cx="1950172" cy="1294381"/>
                    </a:xfrm>
                    <a:prstGeom prst="rect">
                      <a:avLst/>
                    </a:prstGeom>
                  </pic:spPr>
                </pic:pic>
              </a:graphicData>
            </a:graphic>
          </wp:inline>
        </w:drawing>
      </w:r>
    </w:p>
    <w:p w14:paraId="00FC4518" w14:textId="1B5CD854" w:rsidR="00ED1B31" w:rsidRPr="00DF738A" w:rsidRDefault="00C94DA4" w:rsidP="00ED1B31">
      <w:pPr>
        <w:jc w:val="center"/>
        <w:rPr>
          <w:sz w:val="20"/>
          <w:szCs w:val="20"/>
        </w:rPr>
      </w:pPr>
      <w:r w:rsidRPr="00DF738A">
        <w:rPr>
          <w:bCs/>
          <w:noProof/>
          <w:sz w:val="20"/>
          <w:szCs w:val="20"/>
          <w:lang w:val="uk-UA" w:eastAsia="uk-UA"/>
        </w:rPr>
        <w:t>Рис</w:t>
      </w:r>
      <w:r w:rsidR="00ED1B31" w:rsidRPr="00DF738A">
        <w:rPr>
          <w:bCs/>
          <w:noProof/>
          <w:sz w:val="20"/>
          <w:szCs w:val="20"/>
          <w:lang w:eastAsia="uk-UA"/>
        </w:rPr>
        <w:t xml:space="preserve"> 1.</w:t>
      </w:r>
      <w:r w:rsidRPr="00DF738A">
        <w:rPr>
          <w:noProof/>
          <w:sz w:val="20"/>
          <w:szCs w:val="20"/>
          <w:lang w:val="uk-UA" w:eastAsia="uk-UA"/>
        </w:rPr>
        <w:t xml:space="preserve"> СЕМ</w:t>
      </w:r>
      <w:r w:rsidRPr="00C94DA4">
        <w:rPr>
          <w:noProof/>
          <w:sz w:val="20"/>
          <w:szCs w:val="20"/>
          <w:lang w:val="uk-UA" w:eastAsia="uk-UA"/>
        </w:rPr>
        <w:t xml:space="preserve"> та елементний склад зразків бетону</w:t>
      </w:r>
    </w:p>
    <w:p w14:paraId="0DA3DB9D" w14:textId="77777777" w:rsidR="00DF738A" w:rsidRDefault="00DF738A" w:rsidP="000F0D9D">
      <w:pPr>
        <w:tabs>
          <w:tab w:val="left" w:pos="567"/>
        </w:tabs>
        <w:ind w:firstLine="567"/>
        <w:jc w:val="both"/>
        <w:rPr>
          <w:sz w:val="20"/>
          <w:szCs w:val="20"/>
          <w:lang w:val="uk-UA"/>
        </w:rPr>
      </w:pPr>
    </w:p>
    <w:p w14:paraId="00456A2D" w14:textId="65FF4917" w:rsidR="000F0D9D" w:rsidRPr="000F0D9D" w:rsidRDefault="000F0D9D" w:rsidP="000F0D9D">
      <w:pPr>
        <w:tabs>
          <w:tab w:val="left" w:pos="567"/>
        </w:tabs>
        <w:ind w:firstLine="567"/>
        <w:jc w:val="both"/>
        <w:rPr>
          <w:sz w:val="20"/>
          <w:szCs w:val="20"/>
          <w:lang w:val="uk-UA"/>
        </w:rPr>
      </w:pPr>
      <w:r w:rsidRPr="000F0D9D">
        <w:rPr>
          <w:sz w:val="20"/>
          <w:szCs w:val="20"/>
          <w:lang w:val="uk-UA"/>
        </w:rPr>
        <w:t xml:space="preserve">Результати випробувань показують, що проби, відібрані на однаковій відстані від </w:t>
      </w:r>
      <w:proofErr w:type="spellStart"/>
      <w:r w:rsidRPr="000F0D9D">
        <w:rPr>
          <w:sz w:val="20"/>
          <w:szCs w:val="20"/>
          <w:lang w:val="uk-UA"/>
        </w:rPr>
        <w:t>дна</w:t>
      </w:r>
      <w:proofErr w:type="spellEnd"/>
      <w:r w:rsidRPr="000F0D9D">
        <w:rPr>
          <w:sz w:val="20"/>
          <w:szCs w:val="20"/>
          <w:lang w:val="uk-UA"/>
        </w:rPr>
        <w:t xml:space="preserve"> камери, мають схожий склад та структуру.</w:t>
      </w:r>
      <w:r>
        <w:rPr>
          <w:sz w:val="20"/>
          <w:szCs w:val="20"/>
          <w:lang w:val="uk-UA"/>
        </w:rPr>
        <w:t xml:space="preserve"> </w:t>
      </w:r>
      <w:r w:rsidRPr="000F0D9D">
        <w:rPr>
          <w:sz w:val="20"/>
          <w:szCs w:val="20"/>
          <w:lang w:val="uk-UA"/>
        </w:rPr>
        <w:t>Зразки, відібрані на глибині 5 см, містять продукти корозії металевої арматури, у структурі також виразно видно кристали гіпсу. Хоча в пробах міститься вуглець, на знімках не видно форми, характерні для біологічних об'єктів (бактерій тощо), отже процес структурної зміни бетону носить виключно хімічний характер. Структура зразків, що є зіскрібками з поверхні стінок камери, демонструє скупчення речовин, відповідні біологічним скупченням.</w:t>
      </w:r>
      <w:r>
        <w:rPr>
          <w:sz w:val="20"/>
          <w:szCs w:val="20"/>
          <w:lang w:val="uk-UA"/>
        </w:rPr>
        <w:t xml:space="preserve"> </w:t>
      </w:r>
      <w:r w:rsidRPr="000F0D9D">
        <w:rPr>
          <w:sz w:val="20"/>
          <w:szCs w:val="20"/>
          <w:lang w:val="uk-UA"/>
        </w:rPr>
        <w:t>Жоден з досліджених зразків не містить кристалічних продуктів гідратації цементу, що визначають міцність цементного каменю і, отже, бетону.</w:t>
      </w:r>
    </w:p>
    <w:p w14:paraId="68F6F089" w14:textId="6476AA7C" w:rsidR="007A2BAB" w:rsidRPr="00F84371" w:rsidRDefault="007A2BAB" w:rsidP="005C08EA">
      <w:pPr>
        <w:tabs>
          <w:tab w:val="left" w:pos="567"/>
        </w:tabs>
        <w:ind w:firstLine="567"/>
        <w:jc w:val="both"/>
        <w:rPr>
          <w:sz w:val="18"/>
          <w:szCs w:val="18"/>
          <w:lang w:val="uk-UA"/>
        </w:rPr>
      </w:pPr>
    </w:p>
    <w:p w14:paraId="52D3C50B" w14:textId="446A66EC" w:rsidR="00DF738A" w:rsidRPr="00F84371" w:rsidRDefault="001B4533" w:rsidP="00F84371">
      <w:pPr>
        <w:ind w:firstLine="567"/>
        <w:jc w:val="both"/>
        <w:rPr>
          <w:rFonts w:eastAsia="Calibri"/>
          <w:sz w:val="18"/>
          <w:szCs w:val="18"/>
          <w:lang w:val="uk-UA"/>
        </w:rPr>
      </w:pPr>
      <w:r w:rsidRPr="00F84371">
        <w:rPr>
          <w:rFonts w:eastAsia="Calibri"/>
          <w:b/>
          <w:bCs/>
          <w:sz w:val="18"/>
          <w:szCs w:val="18"/>
          <w:lang w:val="en-US"/>
        </w:rPr>
        <w:t>1.</w:t>
      </w:r>
      <w:r w:rsidRPr="00F84371">
        <w:rPr>
          <w:rFonts w:eastAsia="Calibri"/>
          <w:sz w:val="18"/>
          <w:szCs w:val="18"/>
          <w:lang w:val="en-US"/>
        </w:rPr>
        <w:t xml:space="preserve"> </w:t>
      </w:r>
      <w:r w:rsidR="00E03BFB" w:rsidRPr="00DF738A">
        <w:rPr>
          <w:rFonts w:eastAsia="Calibri"/>
          <w:sz w:val="18"/>
          <w:szCs w:val="18"/>
          <w:lang w:val="en-GB"/>
        </w:rPr>
        <w:t xml:space="preserve">Sagor Kumar Pramanik, Muhammed Bhuiyan, Dilan Robert, Rajeev </w:t>
      </w:r>
      <w:proofErr w:type="spellStart"/>
      <w:r w:rsidR="00E03BFB" w:rsidRPr="00DF738A">
        <w:rPr>
          <w:rFonts w:eastAsia="Calibri"/>
          <w:sz w:val="18"/>
          <w:szCs w:val="18"/>
          <w:lang w:val="en-GB"/>
        </w:rPr>
        <w:t>Roychand</w:t>
      </w:r>
      <w:proofErr w:type="spellEnd"/>
      <w:r w:rsidR="00E03BFB" w:rsidRPr="00DF738A">
        <w:rPr>
          <w:rFonts w:eastAsia="Calibri"/>
          <w:sz w:val="18"/>
          <w:szCs w:val="18"/>
          <w:lang w:val="en-GB"/>
        </w:rPr>
        <w:t xml:space="preserve">, Li Gao, Ivan Cole, Biplob Kumar Pramanik, Bio-corrosion in concrete sewer systems: Mechanisms and mitigation strategies, Science of The Total Environment, Vol. 921, 2024, 171231, </w:t>
      </w:r>
      <w:hyperlink r:id="rId10" w:history="1">
        <w:r w:rsidR="00E03BFB" w:rsidRPr="00DF738A">
          <w:rPr>
            <w:rStyle w:val="a3"/>
            <w:rFonts w:eastAsia="Calibri"/>
            <w:sz w:val="18"/>
            <w:szCs w:val="18"/>
            <w:lang w:val="en-GB"/>
          </w:rPr>
          <w:t>https://doi.org/10.1016/j.scitotenv.2024.171231</w:t>
        </w:r>
      </w:hyperlink>
      <w:r w:rsidR="00E03BFB" w:rsidRPr="00DF738A">
        <w:rPr>
          <w:rFonts w:eastAsia="Calibri"/>
          <w:sz w:val="18"/>
          <w:szCs w:val="18"/>
          <w:lang w:val="en-GB"/>
        </w:rPr>
        <w:t xml:space="preserve">. </w:t>
      </w:r>
      <w:r w:rsidRPr="00DF738A">
        <w:rPr>
          <w:rFonts w:eastAsia="Calibri"/>
          <w:b/>
          <w:bCs/>
          <w:sz w:val="18"/>
          <w:szCs w:val="18"/>
          <w:lang w:val="en-GB"/>
        </w:rPr>
        <w:t>2.</w:t>
      </w:r>
      <w:r w:rsidRPr="00DF738A">
        <w:rPr>
          <w:rFonts w:eastAsia="Calibri"/>
          <w:sz w:val="18"/>
          <w:szCs w:val="18"/>
          <w:lang w:val="en-GB"/>
        </w:rPr>
        <w:t xml:space="preserve"> </w:t>
      </w:r>
      <w:r w:rsidR="00F84371" w:rsidRPr="00DF738A">
        <w:rPr>
          <w:rFonts w:eastAsia="Calibri"/>
          <w:sz w:val="18"/>
          <w:szCs w:val="18"/>
          <w:lang w:val="en-GB"/>
        </w:rPr>
        <w:t xml:space="preserve">J </w:t>
      </w:r>
      <w:proofErr w:type="spellStart"/>
      <w:r w:rsidR="00F84371" w:rsidRPr="00DF738A">
        <w:rPr>
          <w:rFonts w:eastAsia="Calibri"/>
          <w:sz w:val="18"/>
          <w:szCs w:val="18"/>
          <w:lang w:val="en-GB"/>
        </w:rPr>
        <w:t>Monteny</w:t>
      </w:r>
      <w:proofErr w:type="spellEnd"/>
      <w:r w:rsidR="00F84371" w:rsidRPr="00DF738A">
        <w:rPr>
          <w:rFonts w:eastAsia="Calibri"/>
          <w:sz w:val="18"/>
          <w:szCs w:val="18"/>
          <w:lang w:val="en-GB"/>
        </w:rPr>
        <w:t xml:space="preserve">, E </w:t>
      </w:r>
      <w:proofErr w:type="spellStart"/>
      <w:r w:rsidR="00F84371" w:rsidRPr="00DF738A">
        <w:rPr>
          <w:rFonts w:eastAsia="Calibri"/>
          <w:sz w:val="18"/>
          <w:szCs w:val="18"/>
          <w:lang w:val="en-GB"/>
        </w:rPr>
        <w:t>Vincke</w:t>
      </w:r>
      <w:proofErr w:type="spellEnd"/>
      <w:r w:rsidR="00F84371" w:rsidRPr="00DF738A">
        <w:rPr>
          <w:rFonts w:eastAsia="Calibri"/>
          <w:sz w:val="18"/>
          <w:szCs w:val="18"/>
          <w:lang w:val="en-GB"/>
        </w:rPr>
        <w:t xml:space="preserve">, A </w:t>
      </w:r>
      <w:proofErr w:type="spellStart"/>
      <w:r w:rsidR="00F84371" w:rsidRPr="00DF738A">
        <w:rPr>
          <w:rFonts w:eastAsia="Calibri"/>
          <w:sz w:val="18"/>
          <w:szCs w:val="18"/>
          <w:lang w:val="en-GB"/>
        </w:rPr>
        <w:t>Beeldens</w:t>
      </w:r>
      <w:proofErr w:type="spellEnd"/>
      <w:r w:rsidR="00F84371" w:rsidRPr="00DF738A">
        <w:rPr>
          <w:rFonts w:eastAsia="Calibri"/>
          <w:sz w:val="18"/>
          <w:szCs w:val="18"/>
          <w:lang w:val="en-GB"/>
        </w:rPr>
        <w:t xml:space="preserve">, N De Belie, L </w:t>
      </w:r>
      <w:proofErr w:type="spellStart"/>
      <w:r w:rsidR="00F84371" w:rsidRPr="00DF738A">
        <w:rPr>
          <w:rFonts w:eastAsia="Calibri"/>
          <w:sz w:val="18"/>
          <w:szCs w:val="18"/>
          <w:lang w:val="en-GB"/>
        </w:rPr>
        <w:t>Taerwe</w:t>
      </w:r>
      <w:proofErr w:type="spellEnd"/>
      <w:r w:rsidR="00F84371" w:rsidRPr="00DF738A">
        <w:rPr>
          <w:rFonts w:eastAsia="Calibri"/>
          <w:sz w:val="18"/>
          <w:szCs w:val="18"/>
          <w:lang w:val="en-GB"/>
        </w:rPr>
        <w:t xml:space="preserve">, D Van Gemert, W Verstraete, Chemical, microbiological, and in situ test methods for biogenic sulfuric acid corrosion of concrete, </w:t>
      </w:r>
      <w:r w:rsidR="00F84371" w:rsidRPr="003478AC">
        <w:rPr>
          <w:rFonts w:eastAsia="Calibri"/>
          <w:i/>
          <w:sz w:val="18"/>
          <w:szCs w:val="18"/>
          <w:lang w:val="en-GB"/>
        </w:rPr>
        <w:t>Cement and Concrete Research</w:t>
      </w:r>
      <w:r w:rsidR="00F84371" w:rsidRPr="00DF738A">
        <w:rPr>
          <w:rFonts w:eastAsia="Calibri"/>
          <w:sz w:val="18"/>
          <w:szCs w:val="18"/>
          <w:lang w:val="en-GB"/>
        </w:rPr>
        <w:t>, Vol.</w:t>
      </w:r>
      <w:r w:rsidR="003478AC">
        <w:rPr>
          <w:rFonts w:eastAsia="Calibri"/>
          <w:sz w:val="18"/>
          <w:szCs w:val="18"/>
          <w:lang w:val="uk-UA"/>
        </w:rPr>
        <w:t xml:space="preserve"> </w:t>
      </w:r>
      <w:r w:rsidR="00F84371" w:rsidRPr="00DF738A">
        <w:rPr>
          <w:rFonts w:eastAsia="Calibri"/>
          <w:sz w:val="18"/>
          <w:szCs w:val="18"/>
          <w:lang w:val="en-GB"/>
        </w:rPr>
        <w:t xml:space="preserve">30, Issue 4, 2000, P 623-634, </w:t>
      </w:r>
      <w:hyperlink r:id="rId11" w:history="1">
        <w:r w:rsidR="00DF738A" w:rsidRPr="00DF738A">
          <w:rPr>
            <w:rStyle w:val="a3"/>
            <w:rFonts w:eastAsia="Calibri"/>
            <w:sz w:val="18"/>
            <w:szCs w:val="18"/>
            <w:lang w:val="en-GB"/>
          </w:rPr>
          <w:t>https://doi.org/10.1016/S0008-8846(00)00219-2</w:t>
        </w:r>
      </w:hyperlink>
      <w:r w:rsidR="00F84371" w:rsidRPr="00DF738A">
        <w:rPr>
          <w:rFonts w:eastAsia="Calibri"/>
          <w:sz w:val="18"/>
          <w:szCs w:val="18"/>
          <w:lang w:val="en-GB"/>
        </w:rPr>
        <w:t>.</w:t>
      </w:r>
    </w:p>
    <w:sectPr w:rsidR="00DF738A" w:rsidRPr="00F84371" w:rsidSect="00CD2CA8">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A620F" w14:textId="77777777" w:rsidR="00D82CF3" w:rsidRDefault="00D82CF3" w:rsidP="00706F17">
      <w:r>
        <w:separator/>
      </w:r>
    </w:p>
  </w:endnote>
  <w:endnote w:type="continuationSeparator" w:id="0">
    <w:p w14:paraId="678F087F" w14:textId="77777777" w:rsidR="00D82CF3" w:rsidRDefault="00D82CF3"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D5D6A" w14:textId="77777777" w:rsidR="00D82CF3" w:rsidRDefault="00D82CF3" w:rsidP="00706F17">
      <w:r>
        <w:separator/>
      </w:r>
    </w:p>
  </w:footnote>
  <w:footnote w:type="continuationSeparator" w:id="0">
    <w:p w14:paraId="45D69F49" w14:textId="77777777" w:rsidR="00D82CF3" w:rsidRDefault="00D82CF3" w:rsidP="007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42DE0"/>
    <w:rsid w:val="00071A46"/>
    <w:rsid w:val="000858CE"/>
    <w:rsid w:val="00086A59"/>
    <w:rsid w:val="00092609"/>
    <w:rsid w:val="000A1A8E"/>
    <w:rsid w:val="000A35E9"/>
    <w:rsid w:val="000A452E"/>
    <w:rsid w:val="000B00D1"/>
    <w:rsid w:val="000C723D"/>
    <w:rsid w:val="000D2A46"/>
    <w:rsid w:val="000D7DDD"/>
    <w:rsid w:val="000D7E72"/>
    <w:rsid w:val="000E5495"/>
    <w:rsid w:val="000E629E"/>
    <w:rsid w:val="000F0A59"/>
    <w:rsid w:val="000F0D9D"/>
    <w:rsid w:val="000F3034"/>
    <w:rsid w:val="00100CFB"/>
    <w:rsid w:val="001029C6"/>
    <w:rsid w:val="00102E90"/>
    <w:rsid w:val="0011298D"/>
    <w:rsid w:val="00120B84"/>
    <w:rsid w:val="00121B5C"/>
    <w:rsid w:val="00124F01"/>
    <w:rsid w:val="001253D6"/>
    <w:rsid w:val="001345B1"/>
    <w:rsid w:val="001518F8"/>
    <w:rsid w:val="001625BE"/>
    <w:rsid w:val="00164524"/>
    <w:rsid w:val="00165D0D"/>
    <w:rsid w:val="0016607D"/>
    <w:rsid w:val="00172025"/>
    <w:rsid w:val="001837C7"/>
    <w:rsid w:val="00183BF4"/>
    <w:rsid w:val="00186BBB"/>
    <w:rsid w:val="00187353"/>
    <w:rsid w:val="001918A6"/>
    <w:rsid w:val="001964EE"/>
    <w:rsid w:val="001A0CBA"/>
    <w:rsid w:val="001A6C87"/>
    <w:rsid w:val="001B4533"/>
    <w:rsid w:val="001D300E"/>
    <w:rsid w:val="001D5938"/>
    <w:rsid w:val="001D6250"/>
    <w:rsid w:val="001E535E"/>
    <w:rsid w:val="001E5CD0"/>
    <w:rsid w:val="001F428B"/>
    <w:rsid w:val="001F44F7"/>
    <w:rsid w:val="00200199"/>
    <w:rsid w:val="00201512"/>
    <w:rsid w:val="002035D0"/>
    <w:rsid w:val="002039EC"/>
    <w:rsid w:val="00205D86"/>
    <w:rsid w:val="00230229"/>
    <w:rsid w:val="00232032"/>
    <w:rsid w:val="00233C9D"/>
    <w:rsid w:val="002478A2"/>
    <w:rsid w:val="00255F43"/>
    <w:rsid w:val="002569D9"/>
    <w:rsid w:val="002602D3"/>
    <w:rsid w:val="002614CC"/>
    <w:rsid w:val="00270D03"/>
    <w:rsid w:val="00275C02"/>
    <w:rsid w:val="002846B5"/>
    <w:rsid w:val="00285662"/>
    <w:rsid w:val="00285894"/>
    <w:rsid w:val="00285CEB"/>
    <w:rsid w:val="002B05D7"/>
    <w:rsid w:val="002B46F0"/>
    <w:rsid w:val="002C1B38"/>
    <w:rsid w:val="002C555E"/>
    <w:rsid w:val="002E43A9"/>
    <w:rsid w:val="00300C0F"/>
    <w:rsid w:val="003025E8"/>
    <w:rsid w:val="00304EF9"/>
    <w:rsid w:val="00314EF8"/>
    <w:rsid w:val="00317A7D"/>
    <w:rsid w:val="003267BC"/>
    <w:rsid w:val="00334902"/>
    <w:rsid w:val="003478AC"/>
    <w:rsid w:val="00355239"/>
    <w:rsid w:val="0035599A"/>
    <w:rsid w:val="0035653B"/>
    <w:rsid w:val="003637D9"/>
    <w:rsid w:val="00363C2B"/>
    <w:rsid w:val="00370E74"/>
    <w:rsid w:val="00373417"/>
    <w:rsid w:val="003740DF"/>
    <w:rsid w:val="00374E07"/>
    <w:rsid w:val="00385919"/>
    <w:rsid w:val="0039402D"/>
    <w:rsid w:val="00394BE4"/>
    <w:rsid w:val="003958DE"/>
    <w:rsid w:val="003A6E12"/>
    <w:rsid w:val="003A7D57"/>
    <w:rsid w:val="003B3F4B"/>
    <w:rsid w:val="003C0376"/>
    <w:rsid w:val="003C16D9"/>
    <w:rsid w:val="003C2973"/>
    <w:rsid w:val="003C3006"/>
    <w:rsid w:val="003C6836"/>
    <w:rsid w:val="003F7E66"/>
    <w:rsid w:val="0040655C"/>
    <w:rsid w:val="00407365"/>
    <w:rsid w:val="00414DB7"/>
    <w:rsid w:val="004229FA"/>
    <w:rsid w:val="00425A36"/>
    <w:rsid w:val="004338F5"/>
    <w:rsid w:val="00447B81"/>
    <w:rsid w:val="0045314F"/>
    <w:rsid w:val="0047265D"/>
    <w:rsid w:val="00480E0F"/>
    <w:rsid w:val="00481369"/>
    <w:rsid w:val="00482897"/>
    <w:rsid w:val="00491A3A"/>
    <w:rsid w:val="004C292B"/>
    <w:rsid w:val="004D11FB"/>
    <w:rsid w:val="004D4D1F"/>
    <w:rsid w:val="004D4E46"/>
    <w:rsid w:val="004D6EDC"/>
    <w:rsid w:val="004F52EE"/>
    <w:rsid w:val="004F64AA"/>
    <w:rsid w:val="00503BEE"/>
    <w:rsid w:val="00515836"/>
    <w:rsid w:val="00521329"/>
    <w:rsid w:val="0052354B"/>
    <w:rsid w:val="00524970"/>
    <w:rsid w:val="00536007"/>
    <w:rsid w:val="00545312"/>
    <w:rsid w:val="005633E5"/>
    <w:rsid w:val="00563772"/>
    <w:rsid w:val="00563C34"/>
    <w:rsid w:val="0058261C"/>
    <w:rsid w:val="0058262F"/>
    <w:rsid w:val="005849A9"/>
    <w:rsid w:val="005867A8"/>
    <w:rsid w:val="005870E0"/>
    <w:rsid w:val="005A1A9C"/>
    <w:rsid w:val="005A3EFC"/>
    <w:rsid w:val="005A6562"/>
    <w:rsid w:val="005B470E"/>
    <w:rsid w:val="005B5FC2"/>
    <w:rsid w:val="005C08EA"/>
    <w:rsid w:val="005C11AC"/>
    <w:rsid w:val="005C21F0"/>
    <w:rsid w:val="005C4F31"/>
    <w:rsid w:val="005D5EAD"/>
    <w:rsid w:val="006021F9"/>
    <w:rsid w:val="00624C5F"/>
    <w:rsid w:val="00627F46"/>
    <w:rsid w:val="00643207"/>
    <w:rsid w:val="0064427B"/>
    <w:rsid w:val="00646642"/>
    <w:rsid w:val="00647706"/>
    <w:rsid w:val="00651CCE"/>
    <w:rsid w:val="00654286"/>
    <w:rsid w:val="006577CF"/>
    <w:rsid w:val="00667928"/>
    <w:rsid w:val="006753B4"/>
    <w:rsid w:val="006917F8"/>
    <w:rsid w:val="00692758"/>
    <w:rsid w:val="006B4CFF"/>
    <w:rsid w:val="006D2E93"/>
    <w:rsid w:val="006D5D38"/>
    <w:rsid w:val="006E240A"/>
    <w:rsid w:val="006F353F"/>
    <w:rsid w:val="006F45A6"/>
    <w:rsid w:val="00704122"/>
    <w:rsid w:val="007043F5"/>
    <w:rsid w:val="0070484D"/>
    <w:rsid w:val="00706F17"/>
    <w:rsid w:val="00732027"/>
    <w:rsid w:val="007343A3"/>
    <w:rsid w:val="007421CB"/>
    <w:rsid w:val="007443CC"/>
    <w:rsid w:val="00744BCE"/>
    <w:rsid w:val="007469F9"/>
    <w:rsid w:val="007534A2"/>
    <w:rsid w:val="00755AC6"/>
    <w:rsid w:val="00760A60"/>
    <w:rsid w:val="00760F98"/>
    <w:rsid w:val="007620CD"/>
    <w:rsid w:val="00764BB0"/>
    <w:rsid w:val="007766A3"/>
    <w:rsid w:val="007769BA"/>
    <w:rsid w:val="007A0D26"/>
    <w:rsid w:val="007A2BAB"/>
    <w:rsid w:val="007A3FB3"/>
    <w:rsid w:val="007A7E08"/>
    <w:rsid w:val="007B0CA5"/>
    <w:rsid w:val="007C2543"/>
    <w:rsid w:val="007C6760"/>
    <w:rsid w:val="007D367A"/>
    <w:rsid w:val="007D4706"/>
    <w:rsid w:val="007F2DAC"/>
    <w:rsid w:val="00806CE2"/>
    <w:rsid w:val="008304B9"/>
    <w:rsid w:val="008363A7"/>
    <w:rsid w:val="00843A9F"/>
    <w:rsid w:val="008532C3"/>
    <w:rsid w:val="008557CF"/>
    <w:rsid w:val="00866F04"/>
    <w:rsid w:val="00871415"/>
    <w:rsid w:val="0087480F"/>
    <w:rsid w:val="00877D8F"/>
    <w:rsid w:val="00881082"/>
    <w:rsid w:val="008846DD"/>
    <w:rsid w:val="008910B5"/>
    <w:rsid w:val="008A22BA"/>
    <w:rsid w:val="008A2758"/>
    <w:rsid w:val="008A5EA6"/>
    <w:rsid w:val="008A7085"/>
    <w:rsid w:val="008A7D8B"/>
    <w:rsid w:val="008D586E"/>
    <w:rsid w:val="008E6179"/>
    <w:rsid w:val="008F2F1E"/>
    <w:rsid w:val="008F6B20"/>
    <w:rsid w:val="00901355"/>
    <w:rsid w:val="00902FFA"/>
    <w:rsid w:val="009064C3"/>
    <w:rsid w:val="00910C5C"/>
    <w:rsid w:val="00920006"/>
    <w:rsid w:val="0092081E"/>
    <w:rsid w:val="00921661"/>
    <w:rsid w:val="00922568"/>
    <w:rsid w:val="00950B0E"/>
    <w:rsid w:val="00954F38"/>
    <w:rsid w:val="00962F13"/>
    <w:rsid w:val="00982323"/>
    <w:rsid w:val="00983F96"/>
    <w:rsid w:val="0098400F"/>
    <w:rsid w:val="009B367D"/>
    <w:rsid w:val="009D1EC0"/>
    <w:rsid w:val="009D1F2E"/>
    <w:rsid w:val="009E41D1"/>
    <w:rsid w:val="009E5F2B"/>
    <w:rsid w:val="009E658D"/>
    <w:rsid w:val="009F1BA4"/>
    <w:rsid w:val="00A02C06"/>
    <w:rsid w:val="00A05D06"/>
    <w:rsid w:val="00A129F8"/>
    <w:rsid w:val="00A1381D"/>
    <w:rsid w:val="00A16F8B"/>
    <w:rsid w:val="00A37B9D"/>
    <w:rsid w:val="00A60F02"/>
    <w:rsid w:val="00A62746"/>
    <w:rsid w:val="00A650FD"/>
    <w:rsid w:val="00A662A4"/>
    <w:rsid w:val="00A66A38"/>
    <w:rsid w:val="00A679D3"/>
    <w:rsid w:val="00A903E4"/>
    <w:rsid w:val="00A9612F"/>
    <w:rsid w:val="00A973E6"/>
    <w:rsid w:val="00AA0519"/>
    <w:rsid w:val="00AA5A33"/>
    <w:rsid w:val="00AA7535"/>
    <w:rsid w:val="00AB2AEC"/>
    <w:rsid w:val="00AB2EFC"/>
    <w:rsid w:val="00AB6D2A"/>
    <w:rsid w:val="00AB6EEA"/>
    <w:rsid w:val="00AB78A7"/>
    <w:rsid w:val="00AC2427"/>
    <w:rsid w:val="00AC6E6B"/>
    <w:rsid w:val="00AC7C51"/>
    <w:rsid w:val="00AF1D8A"/>
    <w:rsid w:val="00AF3A67"/>
    <w:rsid w:val="00B1235E"/>
    <w:rsid w:val="00B1400E"/>
    <w:rsid w:val="00B158D9"/>
    <w:rsid w:val="00B17C68"/>
    <w:rsid w:val="00B20297"/>
    <w:rsid w:val="00B223CA"/>
    <w:rsid w:val="00B27DD2"/>
    <w:rsid w:val="00B315DE"/>
    <w:rsid w:val="00B32CBC"/>
    <w:rsid w:val="00B4116A"/>
    <w:rsid w:val="00B4174C"/>
    <w:rsid w:val="00B46586"/>
    <w:rsid w:val="00B61025"/>
    <w:rsid w:val="00B62BEA"/>
    <w:rsid w:val="00B66905"/>
    <w:rsid w:val="00B6732B"/>
    <w:rsid w:val="00B7012E"/>
    <w:rsid w:val="00B771AA"/>
    <w:rsid w:val="00B77470"/>
    <w:rsid w:val="00B829DE"/>
    <w:rsid w:val="00B867E9"/>
    <w:rsid w:val="00B946A7"/>
    <w:rsid w:val="00BB2FEE"/>
    <w:rsid w:val="00BB4E91"/>
    <w:rsid w:val="00BB620A"/>
    <w:rsid w:val="00BD623C"/>
    <w:rsid w:val="00BE315D"/>
    <w:rsid w:val="00BE5914"/>
    <w:rsid w:val="00BF2480"/>
    <w:rsid w:val="00BF46AC"/>
    <w:rsid w:val="00C07166"/>
    <w:rsid w:val="00C10BB3"/>
    <w:rsid w:val="00C20C6E"/>
    <w:rsid w:val="00C34A6C"/>
    <w:rsid w:val="00C42556"/>
    <w:rsid w:val="00C4568C"/>
    <w:rsid w:val="00C5661C"/>
    <w:rsid w:val="00C63F11"/>
    <w:rsid w:val="00C7161B"/>
    <w:rsid w:val="00C757B9"/>
    <w:rsid w:val="00C81E1A"/>
    <w:rsid w:val="00C91D12"/>
    <w:rsid w:val="00C94DA4"/>
    <w:rsid w:val="00CB7EA9"/>
    <w:rsid w:val="00CC69AE"/>
    <w:rsid w:val="00CD2CA8"/>
    <w:rsid w:val="00CD6AAE"/>
    <w:rsid w:val="00D00F7D"/>
    <w:rsid w:val="00D059CE"/>
    <w:rsid w:val="00D06FED"/>
    <w:rsid w:val="00D10209"/>
    <w:rsid w:val="00D10C30"/>
    <w:rsid w:val="00D14305"/>
    <w:rsid w:val="00D1462E"/>
    <w:rsid w:val="00D162BD"/>
    <w:rsid w:val="00D31B8F"/>
    <w:rsid w:val="00D6100E"/>
    <w:rsid w:val="00D658AD"/>
    <w:rsid w:val="00D67CED"/>
    <w:rsid w:val="00D708F6"/>
    <w:rsid w:val="00D71DE7"/>
    <w:rsid w:val="00D7709C"/>
    <w:rsid w:val="00D80E0A"/>
    <w:rsid w:val="00D82CF3"/>
    <w:rsid w:val="00D863C8"/>
    <w:rsid w:val="00D90F4F"/>
    <w:rsid w:val="00D9746A"/>
    <w:rsid w:val="00DB44D6"/>
    <w:rsid w:val="00DB6122"/>
    <w:rsid w:val="00DB73C6"/>
    <w:rsid w:val="00DC4D50"/>
    <w:rsid w:val="00DC6A92"/>
    <w:rsid w:val="00DD07FC"/>
    <w:rsid w:val="00DE1BDA"/>
    <w:rsid w:val="00DE7245"/>
    <w:rsid w:val="00DF02C1"/>
    <w:rsid w:val="00DF318F"/>
    <w:rsid w:val="00DF738A"/>
    <w:rsid w:val="00E03BFB"/>
    <w:rsid w:val="00E101B2"/>
    <w:rsid w:val="00E10C20"/>
    <w:rsid w:val="00E152C4"/>
    <w:rsid w:val="00E1743A"/>
    <w:rsid w:val="00E2144D"/>
    <w:rsid w:val="00E250D0"/>
    <w:rsid w:val="00E40753"/>
    <w:rsid w:val="00E510DF"/>
    <w:rsid w:val="00E51934"/>
    <w:rsid w:val="00E51C31"/>
    <w:rsid w:val="00E57949"/>
    <w:rsid w:val="00E606B5"/>
    <w:rsid w:val="00E610CD"/>
    <w:rsid w:val="00E628BA"/>
    <w:rsid w:val="00E67927"/>
    <w:rsid w:val="00E73BE7"/>
    <w:rsid w:val="00E74D2A"/>
    <w:rsid w:val="00E829D7"/>
    <w:rsid w:val="00E8566B"/>
    <w:rsid w:val="00E86CB2"/>
    <w:rsid w:val="00E87E13"/>
    <w:rsid w:val="00E90C92"/>
    <w:rsid w:val="00E9379E"/>
    <w:rsid w:val="00E95E63"/>
    <w:rsid w:val="00EA1BE3"/>
    <w:rsid w:val="00EA5FCC"/>
    <w:rsid w:val="00EA69A4"/>
    <w:rsid w:val="00EB447F"/>
    <w:rsid w:val="00EC5F8C"/>
    <w:rsid w:val="00EC600E"/>
    <w:rsid w:val="00EC687E"/>
    <w:rsid w:val="00ED1B31"/>
    <w:rsid w:val="00ED742F"/>
    <w:rsid w:val="00F06753"/>
    <w:rsid w:val="00F15BDC"/>
    <w:rsid w:val="00F26407"/>
    <w:rsid w:val="00F37827"/>
    <w:rsid w:val="00F70D96"/>
    <w:rsid w:val="00F725D3"/>
    <w:rsid w:val="00F73284"/>
    <w:rsid w:val="00F74498"/>
    <w:rsid w:val="00F77F82"/>
    <w:rsid w:val="00F84371"/>
    <w:rsid w:val="00FA00AF"/>
    <w:rsid w:val="00FA12F3"/>
    <w:rsid w:val="00FA4989"/>
    <w:rsid w:val="00FA50DC"/>
    <w:rsid w:val="00FA5E94"/>
    <w:rsid w:val="00FB6C28"/>
    <w:rsid w:val="00FC7709"/>
    <w:rsid w:val="00FE26D9"/>
    <w:rsid w:val="00FE5506"/>
    <w:rsid w:val="00FE5B6E"/>
    <w:rsid w:val="00FF0F47"/>
    <w:rsid w:val="00FF77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B81"/>
    <w:rPr>
      <w:rFonts w:eastAsia="Times New Roman" w:cs="Times New Roman"/>
      <w:sz w:val="24"/>
      <w:szCs w:val="24"/>
      <w:lang w:val="ru-RU" w:eastAsia="ru-RU"/>
    </w:rPr>
  </w:style>
  <w:style w:type="paragraph" w:styleId="1">
    <w:name w:val="heading 1"/>
    <w:basedOn w:val="a"/>
    <w:next w:val="a"/>
    <w:link w:val="10"/>
    <w:uiPriority w:val="9"/>
    <w:qFormat/>
    <w:rsid w:val="006F35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table" w:styleId="ab">
    <w:name w:val="Table Grid"/>
    <w:basedOn w:val="a1"/>
    <w:uiPriority w:val="39"/>
    <w:rsid w:val="00E5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B4533"/>
    <w:pPr>
      <w:ind w:left="720"/>
      <w:contextualSpacing/>
    </w:pPr>
  </w:style>
  <w:style w:type="character" w:customStyle="1" w:styleId="10">
    <w:name w:val="Заголовок 1 Знак"/>
    <w:basedOn w:val="a0"/>
    <w:link w:val="1"/>
    <w:uiPriority w:val="9"/>
    <w:rsid w:val="006F353F"/>
    <w:rPr>
      <w:rFonts w:asciiTheme="majorHAnsi" w:eastAsiaTheme="majorEastAsia" w:hAnsiTheme="majorHAnsi" w:cstheme="majorBidi"/>
      <w:color w:val="2F5496" w:themeColor="accent1" w:themeShade="BF"/>
      <w:sz w:val="32"/>
      <w:szCs w:val="32"/>
      <w:lang w:val="ru-RU" w:eastAsia="ru-RU"/>
    </w:rPr>
  </w:style>
  <w:style w:type="character" w:customStyle="1" w:styleId="12">
    <w:name w:val="Неразрешенное упоминание1"/>
    <w:basedOn w:val="a0"/>
    <w:uiPriority w:val="99"/>
    <w:semiHidden/>
    <w:unhideWhenUsed/>
    <w:rsid w:val="00E03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08-8846(00)00219-2" TargetMode="External"/><Relationship Id="rId5" Type="http://schemas.openxmlformats.org/officeDocument/2006/relationships/webSettings" Target="webSettings.xml"/><Relationship Id="rId10" Type="http://schemas.openxmlformats.org/officeDocument/2006/relationships/hyperlink" Target="https://doi.org/10.1016/j.scitotenv.2024.17123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42A7-B6B6-4055-96DC-CC9529D4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2025-11-20T11:30:00Z</dcterms:created>
  <dcterms:modified xsi:type="dcterms:W3CDTF">2025-11-20T11:30:00Z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