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3A1BA" w14:textId="3BED1281" w:rsidR="00044258" w:rsidRPr="00842AEC" w:rsidRDefault="00994F02" w:rsidP="00F7178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933E5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УДК </w:t>
      </w:r>
      <w:r w:rsidR="00384DE3" w:rsidRPr="00F71785">
        <w:rPr>
          <w:rFonts w:ascii="Times New Roman" w:hAnsi="Times New Roman" w:cs="Times New Roman"/>
          <w:b/>
          <w:bCs/>
          <w:sz w:val="20"/>
          <w:szCs w:val="20"/>
          <w:lang w:val="ru-RU"/>
        </w:rPr>
        <w:t>721</w:t>
      </w:r>
    </w:p>
    <w:p w14:paraId="1BEF5D29" w14:textId="77777777" w:rsidR="00F71785" w:rsidRDefault="00F71785" w:rsidP="00F71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1B46DAC5" w14:textId="41E7EE5C" w:rsidR="00DA7002" w:rsidRDefault="001A2882" w:rsidP="00F71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Навчальні простори з відкритим плануванням:</w:t>
      </w:r>
      <w:r w:rsidR="00DA7002" w:rsidRPr="00C933E5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провідна тенденція формува</w:t>
      </w:r>
      <w:r w:rsidR="00DA7002" w:rsidRPr="00C933E5">
        <w:rPr>
          <w:rFonts w:ascii="Times New Roman" w:hAnsi="Times New Roman" w:cs="Times New Roman"/>
          <w:b/>
          <w:bCs/>
          <w:sz w:val="20"/>
          <w:szCs w:val="20"/>
          <w:lang w:val="uk-UA"/>
        </w:rPr>
        <w:t>ння сучасних освітніх центрів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і вплив</w:t>
      </w:r>
      <w:r w:rsidR="00DA7002" w:rsidRPr="00C933E5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на освітню діяльність</w:t>
      </w:r>
    </w:p>
    <w:p w14:paraId="47D01D58" w14:textId="77777777" w:rsidR="00F71785" w:rsidRPr="00C933E5" w:rsidRDefault="00F71785" w:rsidP="00F71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33524383" w14:textId="50EF0B40" w:rsidR="00810C36" w:rsidRPr="00810C36" w:rsidRDefault="00810C36" w:rsidP="00810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10C36">
        <w:rPr>
          <w:rFonts w:ascii="Times New Roman" w:hAnsi="Times New Roman" w:cs="Times New Roman"/>
          <w:b/>
          <w:bCs/>
          <w:sz w:val="20"/>
          <w:szCs w:val="20"/>
          <w:lang w:val="en-US"/>
        </w:rPr>
        <w:t>Open-</w:t>
      </w:r>
      <w:r w:rsidR="00C27267">
        <w:rPr>
          <w:rFonts w:ascii="Times New Roman" w:hAnsi="Times New Roman" w:cs="Times New Roman"/>
          <w:b/>
          <w:bCs/>
          <w:sz w:val="20"/>
          <w:szCs w:val="20"/>
          <w:lang w:val="en-US"/>
        </w:rPr>
        <w:t>P</w:t>
      </w:r>
      <w:r w:rsidRPr="00810C3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lan Learning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Pr="00810C3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paces: A Leading Trend in Shaping Modern Educational Centers and </w:t>
      </w:r>
      <w:r w:rsidR="00C27267">
        <w:rPr>
          <w:rFonts w:ascii="Times New Roman" w:hAnsi="Times New Roman" w:cs="Times New Roman"/>
          <w:b/>
          <w:bCs/>
          <w:sz w:val="20"/>
          <w:szCs w:val="20"/>
          <w:lang w:val="en-US"/>
        </w:rPr>
        <w:t>Their</w:t>
      </w:r>
      <w:r w:rsidRPr="00810C3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Impact on Educational Activities</w:t>
      </w:r>
    </w:p>
    <w:p w14:paraId="52C64F33" w14:textId="77777777" w:rsidR="00810C36" w:rsidRPr="00810C36" w:rsidRDefault="00810C36" w:rsidP="00810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EC5F9E" w14:textId="1602A5C4" w:rsidR="00353243" w:rsidRDefault="00353243" w:rsidP="00F71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933E5">
        <w:rPr>
          <w:rFonts w:ascii="Times New Roman" w:hAnsi="Times New Roman" w:cs="Times New Roman"/>
          <w:b/>
          <w:bCs/>
          <w:sz w:val="20"/>
          <w:szCs w:val="20"/>
          <w:lang w:val="uk-UA"/>
        </w:rPr>
        <w:t>Н. С. Дорошко, студент (Харківський національний університет міського господарства ім. О. М. Бекетова)</w:t>
      </w:r>
    </w:p>
    <w:p w14:paraId="23A77E5F" w14:textId="77777777" w:rsidR="00810C36" w:rsidRPr="00810C36" w:rsidRDefault="00810C36" w:rsidP="00F71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11B6D1C" w14:textId="1B2DF2B2" w:rsidR="002E7213" w:rsidRPr="002E7213" w:rsidRDefault="002E7213" w:rsidP="00F71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N. S. Doroshko, student (</w:t>
      </w:r>
      <w:r w:rsidR="00810C36" w:rsidRPr="00810C36">
        <w:rPr>
          <w:rFonts w:ascii="Times New Roman" w:hAnsi="Times New Roman" w:cs="Times New Roman"/>
          <w:b/>
          <w:bCs/>
          <w:sz w:val="20"/>
          <w:szCs w:val="20"/>
          <w:lang w:val="en-US"/>
        </w:rPr>
        <w:t>O.</w:t>
      </w:r>
      <w:r w:rsidR="00810C3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810C36" w:rsidRPr="00810C3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M. </w:t>
      </w:r>
      <w:proofErr w:type="spellStart"/>
      <w:r w:rsidR="00810C36" w:rsidRPr="00810C36">
        <w:rPr>
          <w:rFonts w:ascii="Times New Roman" w:hAnsi="Times New Roman" w:cs="Times New Roman"/>
          <w:b/>
          <w:bCs/>
          <w:sz w:val="20"/>
          <w:szCs w:val="20"/>
          <w:lang w:val="en-US"/>
        </w:rPr>
        <w:t>Beketov</w:t>
      </w:r>
      <w:proofErr w:type="spellEnd"/>
      <w:r w:rsidR="00810C36" w:rsidRPr="00810C3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National University of Urban Economy in Kharkiv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</w:p>
    <w:p w14:paraId="3DF41518" w14:textId="77777777" w:rsidR="00F71785" w:rsidRDefault="00F71785" w:rsidP="00F7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2DCD5C0" w14:textId="58AB1E41" w:rsidR="00F71785" w:rsidRPr="0008683F" w:rsidRDefault="00DD20C2" w:rsidP="00F717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20"/>
          <w:lang w:val="uk-UA"/>
        </w:rPr>
      </w:pPr>
      <w:r>
        <w:rPr>
          <w:rFonts w:ascii="Times New Roman" w:hAnsi="Times New Roman" w:cs="Times New Roman"/>
          <w:i/>
          <w:sz w:val="18"/>
          <w:szCs w:val="20"/>
          <w:lang w:val="uk-UA"/>
        </w:rPr>
        <w:t>Розглядаються особливості архітектурного формування сучасних освітніх центрів з навчальними просторами з відкритим плануванням. Аналізується вплив сучасних методів організації архітектурного середовища, особливо «</w:t>
      </w:r>
      <w:proofErr w:type="spellStart"/>
      <w:r>
        <w:rPr>
          <w:rFonts w:ascii="Times New Roman" w:hAnsi="Times New Roman" w:cs="Times New Roman"/>
          <w:i/>
          <w:sz w:val="18"/>
          <w:szCs w:val="20"/>
          <w:lang w:val="uk-UA"/>
        </w:rPr>
        <w:t>Caves</w:t>
      </w:r>
      <w:proofErr w:type="spellEnd"/>
      <w:r>
        <w:rPr>
          <w:rFonts w:ascii="Times New Roman" w:hAnsi="Times New Roman" w:cs="Times New Roman"/>
          <w:i/>
          <w:sz w:val="18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20"/>
          <w:lang w:val="uk-UA"/>
        </w:rPr>
        <w:t>and</w:t>
      </w:r>
      <w:proofErr w:type="spellEnd"/>
      <w:r>
        <w:rPr>
          <w:rFonts w:ascii="Times New Roman" w:hAnsi="Times New Roman" w:cs="Times New Roman"/>
          <w:i/>
          <w:sz w:val="18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20"/>
          <w:lang w:val="uk-UA"/>
        </w:rPr>
        <w:t>Commons</w:t>
      </w:r>
      <w:proofErr w:type="spellEnd"/>
      <w:r>
        <w:rPr>
          <w:rFonts w:ascii="Times New Roman" w:hAnsi="Times New Roman" w:cs="Times New Roman"/>
          <w:i/>
          <w:sz w:val="18"/>
          <w:szCs w:val="20"/>
          <w:lang w:val="uk-UA"/>
        </w:rPr>
        <w:t>», на ефективність та особливості організації освітньої діяльності.</w:t>
      </w:r>
    </w:p>
    <w:p w14:paraId="63BC7B09" w14:textId="77777777" w:rsidR="00810C36" w:rsidRPr="0008683F" w:rsidRDefault="00810C36" w:rsidP="00F717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20"/>
          <w:lang w:val="uk-UA"/>
        </w:rPr>
      </w:pPr>
    </w:p>
    <w:p w14:paraId="3DB3ADAB" w14:textId="67FC972B" w:rsidR="00F71785" w:rsidRPr="00810C36" w:rsidRDefault="00810C36" w:rsidP="00F717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810C36">
        <w:rPr>
          <w:rFonts w:ascii="Times New Roman" w:hAnsi="Times New Roman" w:cs="Times New Roman"/>
          <w:i/>
          <w:iCs/>
          <w:sz w:val="18"/>
          <w:szCs w:val="18"/>
          <w:lang w:val="en-US"/>
        </w:rPr>
        <w:t>The features of the architectural formation of modern educational centers with open-plan learning spaces are examined. The impact of modern methods of organizing the architectural environment, particularly "Caves and Commons," on the effectiveness and specifics of organizing educational activities is analyzed.</w:t>
      </w:r>
    </w:p>
    <w:p w14:paraId="3FA6244E" w14:textId="77777777" w:rsidR="00810C36" w:rsidRPr="00810C36" w:rsidRDefault="00810C36" w:rsidP="00F7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6DBDF29" w14:textId="57DA0ACA" w:rsidR="00483394" w:rsidRPr="00C933E5" w:rsidRDefault="00483394" w:rsidP="00F7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83394">
        <w:rPr>
          <w:rFonts w:ascii="Times New Roman" w:hAnsi="Times New Roman" w:cs="Times New Roman"/>
          <w:sz w:val="20"/>
          <w:szCs w:val="20"/>
          <w:lang w:val="uk-UA"/>
        </w:rPr>
        <w:t xml:space="preserve">Трансформація навчальних середовищ є ключовим елементом формотворення сучасних освітніх центрів, покликаних відповідати на виклики </w:t>
      </w:r>
      <w:r w:rsidR="008727F9" w:rsidRPr="00C933E5">
        <w:rPr>
          <w:rFonts w:ascii="Times New Roman" w:hAnsi="Times New Roman" w:cs="Times New Roman"/>
          <w:sz w:val="20"/>
          <w:szCs w:val="20"/>
          <w:lang w:val="uk-UA"/>
        </w:rPr>
        <w:t>XX</w:t>
      </w:r>
      <w:r w:rsidR="00384DE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727F9"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 ст</w:t>
      </w:r>
      <w:r w:rsidRPr="00483394">
        <w:rPr>
          <w:rFonts w:ascii="Times New Roman" w:hAnsi="Times New Roman" w:cs="Times New Roman"/>
          <w:sz w:val="20"/>
          <w:szCs w:val="20"/>
          <w:lang w:val="uk-UA"/>
        </w:rPr>
        <w:t xml:space="preserve">. Впровадження навчальних просторів з відкритим плануванням стало </w:t>
      </w:r>
      <w:r w:rsidR="00384DE3">
        <w:rPr>
          <w:rFonts w:ascii="Times New Roman" w:hAnsi="Times New Roman" w:cs="Times New Roman"/>
          <w:sz w:val="20"/>
          <w:szCs w:val="20"/>
          <w:lang w:val="uk-UA"/>
        </w:rPr>
        <w:t>провідним</w:t>
      </w:r>
      <w:r w:rsidRPr="00483394">
        <w:rPr>
          <w:rFonts w:ascii="Times New Roman" w:hAnsi="Times New Roman" w:cs="Times New Roman"/>
          <w:sz w:val="20"/>
          <w:szCs w:val="20"/>
          <w:lang w:val="uk-UA"/>
        </w:rPr>
        <w:t xml:space="preserve"> архітектурним вираженням цього вектору. Проте, аналіз показує глибокий розрив між архітектурним задумом та освітньою реальністю. Історично, рішення про відкриті простори часто диктувалися архітекторами та адміністраторами без життєздатного педагогічного плану</w:t>
      </w:r>
      <w:r w:rsidR="008727F9" w:rsidRPr="00C933E5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483394">
        <w:rPr>
          <w:rFonts w:ascii="Times New Roman" w:hAnsi="Times New Roman" w:cs="Times New Roman"/>
          <w:sz w:val="20"/>
          <w:szCs w:val="20"/>
          <w:lang w:val="uk-UA"/>
        </w:rPr>
        <w:t xml:space="preserve"> Дослідження фіксують, що самі по собі будівлі без внутрішніх стін не призводили автоматично до індивідуалізації навчання чи свободи вибору учнів</w:t>
      </w:r>
      <w:r w:rsidR="008727F9" w:rsidRPr="00C933E5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483394">
        <w:rPr>
          <w:rFonts w:ascii="Times New Roman" w:hAnsi="Times New Roman" w:cs="Times New Roman"/>
          <w:sz w:val="20"/>
          <w:szCs w:val="20"/>
          <w:lang w:val="uk-UA"/>
        </w:rPr>
        <w:t xml:space="preserve"> Більше того, без належної педагогічної інтеграції, ці нові простори можуть ставати «перешкодами» для освіти, не демонструючи покращення академічних результатів чи стабільності педагогічного колективу</w:t>
      </w:r>
      <w:r w:rsidR="008727F9" w:rsidRPr="00C933E5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483394">
        <w:rPr>
          <w:rFonts w:ascii="Times New Roman" w:hAnsi="Times New Roman" w:cs="Times New Roman"/>
          <w:sz w:val="20"/>
          <w:szCs w:val="20"/>
          <w:lang w:val="uk-UA"/>
        </w:rPr>
        <w:t xml:space="preserve"> Таким чином, проблема полягає у невідповідності між просторовою формою, що пропонується, та педагогічною компетентністю, необхідною для її ефективного використання</w:t>
      </w:r>
      <w:r w:rsidR="008727F9" w:rsidRPr="00C933E5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04F1E362" w14:textId="1BF08198" w:rsidR="00C933E5" w:rsidRDefault="00F30DFD" w:rsidP="00F7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Теоретично, 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>навчальні простори з відкритим плануванням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 покликані </w:t>
      </w:r>
      <w:r w:rsidR="00384DE3">
        <w:rPr>
          <w:rFonts w:ascii="Times New Roman" w:hAnsi="Times New Roman" w:cs="Times New Roman"/>
          <w:sz w:val="20"/>
          <w:szCs w:val="20"/>
          <w:lang w:val="uk-UA"/>
        </w:rPr>
        <w:t>змінити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 ригідність традиційної класно-урочної системи. Вони створюють середовище для активного навчання, заохочуючи вільну комунікацію та пересування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 Така гнучкість сприяє </w:t>
      </w:r>
      <w:proofErr w:type="spellStart"/>
      <w:r w:rsidRPr="00F30DFD">
        <w:rPr>
          <w:rFonts w:ascii="Times New Roman" w:hAnsi="Times New Roman" w:cs="Times New Roman"/>
          <w:sz w:val="20"/>
          <w:szCs w:val="20"/>
          <w:lang w:val="uk-UA"/>
        </w:rPr>
        <w:t>студентоцентрованим</w:t>
      </w:r>
      <w:proofErr w:type="spellEnd"/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 підходам, індивідуалізації навчання та полегшує впровадження міждисциплінарних 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lastRenderedPageBreak/>
        <w:t>моделей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Ключовим механізмом реалізації цього потенціалу є архітектурні 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>можливості, які надаються таким простором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. До них належить адаптивне та мобільне меблювання: ергономічні сидіння для мобільності, </w:t>
      </w:r>
      <w:proofErr w:type="spellStart"/>
      <w:r w:rsidRPr="00F30DFD">
        <w:rPr>
          <w:rFonts w:ascii="Times New Roman" w:hAnsi="Times New Roman" w:cs="Times New Roman"/>
          <w:sz w:val="20"/>
          <w:szCs w:val="20"/>
          <w:lang w:val="uk-UA"/>
        </w:rPr>
        <w:t>колаборативні</w:t>
      </w:r>
      <w:proofErr w:type="spellEnd"/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 столи для групової роботи та ізольовані індивідуальні робочі місця для </w:t>
      </w:r>
      <w:proofErr w:type="spellStart"/>
      <w:r w:rsidRPr="00F30DFD">
        <w:rPr>
          <w:rFonts w:ascii="Times New Roman" w:hAnsi="Times New Roman" w:cs="Times New Roman"/>
          <w:sz w:val="20"/>
          <w:szCs w:val="20"/>
          <w:lang w:val="uk-UA"/>
        </w:rPr>
        <w:t>фокусованої</w:t>
      </w:r>
      <w:proofErr w:type="spellEnd"/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 діяльності. Дослідження доводять, що пр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и поєднанні 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гнучкого простору та адекватної </w:t>
      </w:r>
      <w:proofErr w:type="spellStart"/>
      <w:r w:rsidRPr="00F30DFD">
        <w:rPr>
          <w:rFonts w:ascii="Times New Roman" w:hAnsi="Times New Roman" w:cs="Times New Roman"/>
          <w:sz w:val="20"/>
          <w:szCs w:val="20"/>
          <w:lang w:val="uk-UA"/>
        </w:rPr>
        <w:t>студентоцентрованої</w:t>
      </w:r>
      <w:proofErr w:type="spellEnd"/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 педагогіки, студенти проводять значно більше часу у взаємодії з однолітками та у співпраці, і значно менше часу у форматі фронтальної лекції.</w:t>
      </w:r>
    </w:p>
    <w:p w14:paraId="69228311" w14:textId="2A227FEC" w:rsidR="00C933E5" w:rsidRDefault="00C933E5" w:rsidP="00F7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Однак, подібні простори можуть нести за собою певні виклики, як, наприклад, акустичний дефіцит</w:t>
      </w:r>
      <w:r w:rsidR="00CE4BA6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k-UA"/>
        </w:rPr>
        <w:t>Відповідь на ці виклики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 лежить не в бінарній опозиції «відкритий/закритий», а у переході до збалансованих гібридних моделей.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>Найбільш перспективною виявляється концепція «</w:t>
      </w:r>
      <w:proofErr w:type="spellStart"/>
      <w:r w:rsidRPr="00C933E5">
        <w:rPr>
          <w:rFonts w:ascii="Times New Roman" w:hAnsi="Times New Roman" w:cs="Times New Roman"/>
          <w:sz w:val="20"/>
          <w:szCs w:val="20"/>
          <w:lang w:val="uk-UA"/>
        </w:rPr>
        <w:t>Caves</w:t>
      </w:r>
      <w:proofErr w:type="spellEnd"/>
      <w:r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933E5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933E5">
        <w:rPr>
          <w:rFonts w:ascii="Times New Roman" w:hAnsi="Times New Roman" w:cs="Times New Roman"/>
          <w:sz w:val="20"/>
          <w:szCs w:val="20"/>
          <w:lang w:val="uk-UA"/>
        </w:rPr>
        <w:t>Commons</w:t>
      </w:r>
      <w:proofErr w:type="spellEnd"/>
      <w:r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» («Печери та </w:t>
      </w:r>
      <w:r w:rsidR="00497A26">
        <w:rPr>
          <w:rFonts w:ascii="Times New Roman" w:hAnsi="Times New Roman" w:cs="Times New Roman"/>
          <w:sz w:val="20"/>
          <w:szCs w:val="20"/>
          <w:lang w:val="uk-UA"/>
        </w:rPr>
        <w:t>с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>пільноти»).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Ця модель поєднує відкриті, гнучкі зони для </w:t>
      </w:r>
      <w:proofErr w:type="spellStart"/>
      <w:r w:rsidRPr="00C933E5">
        <w:rPr>
          <w:rFonts w:ascii="Times New Roman" w:hAnsi="Times New Roman" w:cs="Times New Roman"/>
          <w:sz w:val="20"/>
          <w:szCs w:val="20"/>
          <w:lang w:val="uk-UA"/>
        </w:rPr>
        <w:t>колаборації</w:t>
      </w:r>
      <w:proofErr w:type="spellEnd"/>
      <w:r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 та соціальної взаємодії («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Start"/>
      <w:r w:rsidRPr="00C933E5">
        <w:rPr>
          <w:rFonts w:ascii="Times New Roman" w:hAnsi="Times New Roman" w:cs="Times New Roman"/>
          <w:sz w:val="20"/>
          <w:szCs w:val="20"/>
          <w:lang w:val="uk-UA"/>
        </w:rPr>
        <w:t>ommons</w:t>
      </w:r>
      <w:proofErr w:type="spellEnd"/>
      <w:r w:rsidRPr="00C933E5">
        <w:rPr>
          <w:rFonts w:ascii="Times New Roman" w:hAnsi="Times New Roman" w:cs="Times New Roman"/>
          <w:sz w:val="20"/>
          <w:szCs w:val="20"/>
          <w:lang w:val="uk-UA"/>
        </w:rPr>
        <w:t>») з малими, акустично ізольованими «печерами» («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Start"/>
      <w:r w:rsidRPr="00C933E5">
        <w:rPr>
          <w:rFonts w:ascii="Times New Roman" w:hAnsi="Times New Roman" w:cs="Times New Roman"/>
          <w:sz w:val="20"/>
          <w:szCs w:val="20"/>
          <w:lang w:val="uk-UA"/>
        </w:rPr>
        <w:t>aves</w:t>
      </w:r>
      <w:proofErr w:type="spellEnd"/>
      <w:r w:rsidRPr="00C933E5">
        <w:rPr>
          <w:rFonts w:ascii="Times New Roman" w:hAnsi="Times New Roman" w:cs="Times New Roman"/>
          <w:sz w:val="20"/>
          <w:szCs w:val="20"/>
          <w:lang w:val="uk-UA"/>
        </w:rPr>
        <w:t xml:space="preserve">») для тихої, концентрованої індивідуальної роботи. Такий підхід архітектурно вирішує фундаментальний конфлікт </w:t>
      </w:r>
      <w:r>
        <w:rPr>
          <w:rFonts w:ascii="Times New Roman" w:hAnsi="Times New Roman" w:cs="Times New Roman"/>
          <w:sz w:val="20"/>
          <w:szCs w:val="20"/>
          <w:lang w:val="uk-UA"/>
        </w:rPr>
        <w:t>навчальних просторів з відкритим плануванням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>, надаючи окремі, оптимізовані зони для двох несумісних типів діяльності. Це, однак, вимагає свідомого зонування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>та комплексного акустичного проектування, що включає використання звукопоглинальних матеріалів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933E5">
        <w:rPr>
          <w:rFonts w:ascii="Times New Roman" w:hAnsi="Times New Roman" w:cs="Times New Roman"/>
          <w:sz w:val="20"/>
          <w:szCs w:val="20"/>
          <w:lang w:val="uk-UA"/>
        </w:rPr>
        <w:t>панелей та, в деяких випадках, активних систем звукового маскування.</w:t>
      </w:r>
    </w:p>
    <w:p w14:paraId="0381329E" w14:textId="0E46A645" w:rsidR="00F30DFD" w:rsidRPr="00384DE3" w:rsidRDefault="00F30DFD" w:rsidP="00F7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Вплив навчальних просторів з відкритим плануванням на освітню діяльність не є детерміністичним. Архітектурне «формотворення» діє одночасно як каталізатор та фільтр. Воно </w:t>
      </w:r>
      <w:proofErr w:type="spellStart"/>
      <w:r w:rsidRPr="00D13B32">
        <w:rPr>
          <w:rFonts w:ascii="Times New Roman" w:hAnsi="Times New Roman" w:cs="Times New Roman"/>
          <w:iCs/>
          <w:sz w:val="20"/>
          <w:szCs w:val="20"/>
          <w:lang w:val="uk-UA"/>
        </w:rPr>
        <w:t>каталізує</w:t>
      </w:r>
      <w:proofErr w:type="spellEnd"/>
      <w:r w:rsidRPr="00D13B3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(полегшує та стимулює) </w:t>
      </w:r>
      <w:proofErr w:type="spellStart"/>
      <w:r w:rsidRPr="00F30DFD">
        <w:rPr>
          <w:rFonts w:ascii="Times New Roman" w:hAnsi="Times New Roman" w:cs="Times New Roman"/>
          <w:sz w:val="20"/>
          <w:szCs w:val="20"/>
          <w:lang w:val="uk-UA"/>
        </w:rPr>
        <w:t>колаборативні</w:t>
      </w:r>
      <w:proofErr w:type="spellEnd"/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F30DFD">
        <w:rPr>
          <w:rFonts w:ascii="Times New Roman" w:hAnsi="Times New Roman" w:cs="Times New Roman"/>
          <w:sz w:val="20"/>
          <w:szCs w:val="20"/>
          <w:lang w:val="uk-UA"/>
        </w:rPr>
        <w:t>студентоцентровані</w:t>
      </w:r>
      <w:proofErr w:type="spellEnd"/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 педагогічні практики, що доведено зростанням взаємодії студентів за правильних умов.</w:t>
      </w:r>
      <w:r w:rsidR="00C933E5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 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Водночас, воно діє як жорсткий </w:t>
      </w:r>
      <w:r w:rsidRPr="00DD20C2">
        <w:rPr>
          <w:rFonts w:ascii="Times New Roman" w:hAnsi="Times New Roman" w:cs="Times New Roman"/>
          <w:iCs/>
          <w:sz w:val="20"/>
          <w:szCs w:val="20"/>
          <w:lang w:val="uk-UA"/>
        </w:rPr>
        <w:t>фільтр</w:t>
      </w:r>
      <w:r w:rsidRPr="00F30DFD">
        <w:rPr>
          <w:rFonts w:ascii="Times New Roman" w:hAnsi="Times New Roman" w:cs="Times New Roman"/>
          <w:sz w:val="20"/>
          <w:szCs w:val="20"/>
          <w:lang w:val="uk-UA"/>
        </w:rPr>
        <w:t xml:space="preserve">, що блокує ефективність традиційних, фронтальних </w:t>
      </w:r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>методів через непереборні акустичні та організаційні обмеження.</w:t>
      </w:r>
      <w:r w:rsidR="00C933E5" w:rsidRPr="0008683F">
        <w:rPr>
          <w:rFonts w:ascii="Times New Roman" w:hAnsi="Times New Roman" w:cs="Times New Roman"/>
          <w:spacing w:val="-4"/>
          <w:sz w:val="20"/>
          <w:szCs w:val="20"/>
          <w:vertAlign w:val="superscript"/>
          <w:lang w:val="uk-UA"/>
        </w:rPr>
        <w:t xml:space="preserve"> </w:t>
      </w:r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 xml:space="preserve">Таким чином, успіх сучасних освітніх центрів залежить від симбіотичної </w:t>
      </w:r>
      <w:proofErr w:type="spellStart"/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>коеволюції</w:t>
      </w:r>
      <w:proofErr w:type="spellEnd"/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 xml:space="preserve"> збалансованого просторового дизайну (наприклад, «</w:t>
      </w:r>
      <w:proofErr w:type="spellStart"/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>Caves</w:t>
      </w:r>
      <w:proofErr w:type="spellEnd"/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 xml:space="preserve"> </w:t>
      </w:r>
      <w:proofErr w:type="spellStart"/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>and</w:t>
      </w:r>
      <w:proofErr w:type="spellEnd"/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 xml:space="preserve"> </w:t>
      </w:r>
      <w:proofErr w:type="spellStart"/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>Commons</w:t>
      </w:r>
      <w:proofErr w:type="spellEnd"/>
      <w:r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>»)</w:t>
      </w:r>
      <w:r w:rsidR="00C933E5" w:rsidRPr="0008683F">
        <w:rPr>
          <w:rFonts w:ascii="Times New Roman" w:hAnsi="Times New Roman" w:cs="Times New Roman"/>
          <w:spacing w:val="-4"/>
          <w:sz w:val="20"/>
          <w:szCs w:val="20"/>
          <w:lang w:val="uk-UA"/>
        </w:rPr>
        <w:t>.</w:t>
      </w:r>
    </w:p>
    <w:p w14:paraId="310CE804" w14:textId="4C570671" w:rsidR="00353243" w:rsidRDefault="002E7213" w:rsidP="0008683F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E7213">
        <w:rPr>
          <w:rFonts w:ascii="Times New Roman" w:hAnsi="Times New Roman" w:cs="Times New Roman"/>
          <w:sz w:val="18"/>
          <w:szCs w:val="18"/>
        </w:rPr>
        <w:t xml:space="preserve">1. Group of National Experts on Effective Learning Environments. </w:t>
      </w:r>
      <w:r w:rsidRPr="002E7213">
        <w:rPr>
          <w:rFonts w:ascii="Times New Roman" w:hAnsi="Times New Roman" w:cs="Times New Roman"/>
          <w:i/>
          <w:iCs/>
          <w:sz w:val="18"/>
          <w:szCs w:val="18"/>
        </w:rPr>
        <w:t>OECD</w:t>
      </w:r>
      <w:r w:rsidRPr="002E7213">
        <w:rPr>
          <w:rFonts w:ascii="Times New Roman" w:hAnsi="Times New Roman" w:cs="Times New Roman"/>
          <w:sz w:val="18"/>
          <w:szCs w:val="18"/>
        </w:rPr>
        <w:t>. 16.01.2019. URL: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D13B32" w:rsidRPr="00853B93">
          <w:rPr>
            <w:rStyle w:val="ac"/>
            <w:rFonts w:ascii="Times New Roman" w:hAnsi="Times New Roman" w:cs="Times New Roman"/>
            <w:sz w:val="18"/>
            <w:szCs w:val="18"/>
          </w:rPr>
          <w:t>https://one.oecd.org/document/EDU/EDPC/GNEELE(2018)3/REV1/En/pdf</w:t>
        </w:r>
      </w:hyperlink>
      <w:r w:rsidR="00D13B3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2E7213">
        <w:rPr>
          <w:rFonts w:ascii="Times New Roman" w:hAnsi="Times New Roman" w:cs="Times New Roman"/>
          <w:sz w:val="18"/>
          <w:szCs w:val="18"/>
        </w:rPr>
        <w:t>(дата звернення: 06.11.2025).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7213">
        <w:rPr>
          <w:rFonts w:ascii="Times New Roman" w:hAnsi="Times New Roman" w:cs="Times New Roman"/>
          <w:sz w:val="18"/>
          <w:szCs w:val="18"/>
        </w:rPr>
        <w:t xml:space="preserve">2. Open Classrooms. </w:t>
      </w:r>
      <w:r w:rsidRPr="002E7213">
        <w:rPr>
          <w:rFonts w:ascii="Times New Roman" w:hAnsi="Times New Roman" w:cs="Times New Roman"/>
          <w:i/>
          <w:iCs/>
          <w:sz w:val="18"/>
          <w:szCs w:val="18"/>
        </w:rPr>
        <w:t>EBSCO</w:t>
      </w:r>
      <w:r w:rsidRPr="002E7213">
        <w:rPr>
          <w:rFonts w:ascii="Times New Roman" w:hAnsi="Times New Roman" w:cs="Times New Roman"/>
          <w:sz w:val="18"/>
          <w:szCs w:val="18"/>
        </w:rPr>
        <w:t xml:space="preserve">. 17.08.2023. URL: </w:t>
      </w:r>
      <w:hyperlink r:id="rId6" w:history="1">
        <w:r w:rsidR="00D13B32" w:rsidRPr="00853B93">
          <w:rPr>
            <w:rStyle w:val="ac"/>
            <w:rFonts w:ascii="Times New Roman" w:hAnsi="Times New Roman" w:cs="Times New Roman"/>
            <w:sz w:val="18"/>
            <w:szCs w:val="18"/>
          </w:rPr>
          <w:t>https://www.ebsco.com/research-starters/education/open-classrooms</w:t>
        </w:r>
      </w:hyperlink>
      <w:r w:rsidR="00D13B3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2E7213">
        <w:rPr>
          <w:rFonts w:ascii="Times New Roman" w:hAnsi="Times New Roman" w:cs="Times New Roman"/>
          <w:sz w:val="18"/>
          <w:szCs w:val="18"/>
        </w:rPr>
        <w:t>(дата звернення: 06.11.2025).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7213">
        <w:rPr>
          <w:rFonts w:ascii="Times New Roman" w:hAnsi="Times New Roman" w:cs="Times New Roman"/>
          <w:sz w:val="18"/>
          <w:szCs w:val="18"/>
        </w:rPr>
        <w:t xml:space="preserve">3. How Effective Are Open-plan Schools?. </w:t>
      </w:r>
      <w:r w:rsidRPr="002E7213">
        <w:rPr>
          <w:rFonts w:ascii="Times New Roman" w:hAnsi="Times New Roman" w:cs="Times New Roman"/>
          <w:i/>
          <w:iCs/>
          <w:sz w:val="18"/>
          <w:szCs w:val="18"/>
        </w:rPr>
        <w:t>Giving Compass</w:t>
      </w:r>
      <w:r w:rsidRPr="002E7213">
        <w:rPr>
          <w:rFonts w:ascii="Times New Roman" w:hAnsi="Times New Roman" w:cs="Times New Roman"/>
          <w:sz w:val="18"/>
          <w:szCs w:val="18"/>
        </w:rPr>
        <w:t xml:space="preserve">. 07.10.2018. URL: </w:t>
      </w:r>
      <w:hyperlink r:id="rId7" w:history="1">
        <w:r w:rsidR="00D13B32" w:rsidRPr="00853B93">
          <w:rPr>
            <w:rStyle w:val="ac"/>
            <w:rFonts w:ascii="Times New Roman" w:hAnsi="Times New Roman" w:cs="Times New Roman"/>
            <w:sz w:val="18"/>
            <w:szCs w:val="18"/>
          </w:rPr>
          <w:t>https://givingcompass.org/article/open-plan-schools</w:t>
        </w:r>
      </w:hyperlink>
      <w:r w:rsidR="00D13B3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2E7213">
        <w:rPr>
          <w:rFonts w:ascii="Times New Roman" w:hAnsi="Times New Roman" w:cs="Times New Roman"/>
          <w:sz w:val="18"/>
          <w:szCs w:val="18"/>
        </w:rPr>
        <w:t>(дата звернення: 06.11.2025).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7213">
        <w:rPr>
          <w:rFonts w:ascii="Times New Roman" w:hAnsi="Times New Roman" w:cs="Times New Roman"/>
          <w:sz w:val="18"/>
          <w:szCs w:val="18"/>
        </w:rPr>
        <w:t xml:space="preserve">4. Designing for transformation – a case study of open learning spaces and educational chang. </w:t>
      </w:r>
      <w:r w:rsidRPr="002E7213">
        <w:rPr>
          <w:rFonts w:ascii="Times New Roman" w:hAnsi="Times New Roman" w:cs="Times New Roman"/>
          <w:i/>
          <w:iCs/>
          <w:sz w:val="18"/>
          <w:szCs w:val="18"/>
        </w:rPr>
        <w:t>SciSpace</w:t>
      </w:r>
      <w:r w:rsidRPr="002E7213">
        <w:rPr>
          <w:rFonts w:ascii="Times New Roman" w:hAnsi="Times New Roman" w:cs="Times New Roman"/>
          <w:sz w:val="18"/>
          <w:szCs w:val="18"/>
        </w:rPr>
        <w:t xml:space="preserve">. URL: </w:t>
      </w:r>
      <w:hyperlink r:id="rId8" w:history="1">
        <w:r w:rsidR="00D13B32" w:rsidRPr="00853B93">
          <w:rPr>
            <w:rStyle w:val="ac"/>
            <w:rFonts w:ascii="Times New Roman" w:hAnsi="Times New Roman" w:cs="Times New Roman"/>
            <w:sz w:val="18"/>
            <w:szCs w:val="18"/>
          </w:rPr>
          <w:t>https://scispace.com/pdf/designing-for-transformation-a-case-study-of-open-learning-2lgj7b7b68.pdf</w:t>
        </w:r>
      </w:hyperlink>
      <w:r w:rsidR="00D13B32" w:rsidRPr="002E7213">
        <w:rPr>
          <w:rFonts w:ascii="Times New Roman" w:hAnsi="Times New Roman" w:cs="Times New Roman"/>
          <w:sz w:val="18"/>
          <w:szCs w:val="18"/>
        </w:rPr>
        <w:t xml:space="preserve"> </w:t>
      </w:r>
      <w:r w:rsidRPr="002E7213">
        <w:rPr>
          <w:rFonts w:ascii="Times New Roman" w:hAnsi="Times New Roman" w:cs="Times New Roman"/>
          <w:sz w:val="18"/>
          <w:szCs w:val="18"/>
        </w:rPr>
        <w:t>(дата звернення: 06.11.2025).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7213">
        <w:rPr>
          <w:rFonts w:ascii="Times New Roman" w:hAnsi="Times New Roman" w:cs="Times New Roman"/>
          <w:sz w:val="18"/>
          <w:szCs w:val="18"/>
        </w:rPr>
        <w:t xml:space="preserve">5. The open plan remains an important office design element. </w:t>
      </w:r>
      <w:r w:rsidRPr="002E7213">
        <w:rPr>
          <w:rFonts w:ascii="Times New Roman" w:hAnsi="Times New Roman" w:cs="Times New Roman"/>
          <w:i/>
          <w:iCs/>
          <w:sz w:val="18"/>
          <w:szCs w:val="18"/>
        </w:rPr>
        <w:t>Workplace Insight</w:t>
      </w:r>
      <w:r w:rsidRPr="002E7213">
        <w:rPr>
          <w:rFonts w:ascii="Times New Roman" w:hAnsi="Times New Roman" w:cs="Times New Roman"/>
          <w:sz w:val="18"/>
          <w:szCs w:val="18"/>
        </w:rPr>
        <w:t xml:space="preserve">. 09.02.2015. URL: </w:t>
      </w:r>
      <w:hyperlink r:id="rId9" w:history="1">
        <w:r w:rsidR="00D13B32" w:rsidRPr="00853B93">
          <w:rPr>
            <w:rStyle w:val="ac"/>
            <w:rFonts w:ascii="Times New Roman" w:hAnsi="Times New Roman" w:cs="Times New Roman"/>
            <w:sz w:val="18"/>
            <w:szCs w:val="18"/>
          </w:rPr>
          <w:t>https://workplaceinsight.net/open-plan-remains-important-office-design-element/</w:t>
        </w:r>
      </w:hyperlink>
      <w:r w:rsidR="00D13B32" w:rsidRPr="002E7213">
        <w:rPr>
          <w:rFonts w:ascii="Times New Roman" w:hAnsi="Times New Roman" w:cs="Times New Roman"/>
          <w:sz w:val="18"/>
          <w:szCs w:val="18"/>
        </w:rPr>
        <w:t xml:space="preserve"> </w:t>
      </w:r>
      <w:r w:rsidRPr="002E7213">
        <w:rPr>
          <w:rFonts w:ascii="Times New Roman" w:hAnsi="Times New Roman" w:cs="Times New Roman"/>
          <w:sz w:val="18"/>
          <w:szCs w:val="18"/>
        </w:rPr>
        <w:t>(дата звернення: 06.11.2025).</w:t>
      </w:r>
    </w:p>
    <w:sectPr w:rsidR="00353243" w:rsidSect="00F71785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02"/>
    <w:rsid w:val="00044258"/>
    <w:rsid w:val="00080A76"/>
    <w:rsid w:val="0008683F"/>
    <w:rsid w:val="000F6824"/>
    <w:rsid w:val="001A2882"/>
    <w:rsid w:val="002E7213"/>
    <w:rsid w:val="00353243"/>
    <w:rsid w:val="00384DE3"/>
    <w:rsid w:val="00483394"/>
    <w:rsid w:val="00497A26"/>
    <w:rsid w:val="00746A82"/>
    <w:rsid w:val="007A53CF"/>
    <w:rsid w:val="007D7621"/>
    <w:rsid w:val="00810C36"/>
    <w:rsid w:val="00842AEC"/>
    <w:rsid w:val="008727F9"/>
    <w:rsid w:val="00994F02"/>
    <w:rsid w:val="009F762E"/>
    <w:rsid w:val="00A626B4"/>
    <w:rsid w:val="00C27267"/>
    <w:rsid w:val="00C933E5"/>
    <w:rsid w:val="00CE4BA6"/>
    <w:rsid w:val="00D13B32"/>
    <w:rsid w:val="00DA7002"/>
    <w:rsid w:val="00DD20C2"/>
    <w:rsid w:val="00F30DFD"/>
    <w:rsid w:val="00F46B04"/>
    <w:rsid w:val="00F71785"/>
    <w:rsid w:val="00F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139"/>
  <w15:chartTrackingRefBased/>
  <w15:docId w15:val="{869DB768-EAB9-45E9-9C38-80F8129C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4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F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F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4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F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F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4F0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3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space.com/pdf/designing-for-transformation-a-case-study-of-open-learning-2lgj7b7b6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vingcompass.org/article/open-plan-schoo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bsco.com/research-starters/education/open-classroom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e.oecd.org/document/EDU/EDPC/GNEELE(2018)3/REV1/En/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kplaceinsight.net/open-plan-remains-important-office-design-el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B71B-E36E-43FD-A34C-97FC5289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Doroshko</dc:creator>
  <cp:keywords/>
  <dc:description/>
  <cp:lastModifiedBy>UserOk</cp:lastModifiedBy>
  <cp:revision>2</cp:revision>
  <dcterms:created xsi:type="dcterms:W3CDTF">2025-11-13T12:05:00Z</dcterms:created>
  <dcterms:modified xsi:type="dcterms:W3CDTF">2025-11-13T12:05:00Z</dcterms:modified>
</cp:coreProperties>
</file>