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9AD4" w14:textId="669D0F12" w:rsidR="007F2DAC" w:rsidRDefault="006B7F10" w:rsidP="006B7F10">
      <w:pPr>
        <w:rPr>
          <w:b/>
          <w:sz w:val="20"/>
          <w:szCs w:val="20"/>
        </w:rPr>
      </w:pPr>
      <w:r w:rsidRPr="006B7F10">
        <w:rPr>
          <w:b/>
          <w:sz w:val="20"/>
          <w:szCs w:val="20"/>
        </w:rPr>
        <w:t>УДК 532.542.1</w:t>
      </w:r>
      <w:r w:rsidRPr="006B7F10">
        <w:rPr>
          <w:b/>
          <w:sz w:val="20"/>
          <w:szCs w:val="20"/>
        </w:rPr>
        <w:cr/>
      </w:r>
    </w:p>
    <w:p w14:paraId="60F86193" w14:textId="248550AB" w:rsidR="007F2DAC" w:rsidRPr="00A33B3B" w:rsidRDefault="006B7F10" w:rsidP="007F2DAC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 w:rsidRPr="00A33B3B">
        <w:rPr>
          <w:b/>
          <w:sz w:val="20"/>
          <w:szCs w:val="20"/>
          <w:lang w:val="uk-UA"/>
        </w:rPr>
        <w:t>Підвищення енергоефективності спортивних комплексів через аналіз нестаціонарної теплової динаміки ґрунтових теплообмінників</w:t>
      </w:r>
    </w:p>
    <w:p w14:paraId="29747A74" w14:textId="748A6ECE" w:rsidR="00EB4E5C" w:rsidRPr="00A33B3B" w:rsidRDefault="00EB4E5C" w:rsidP="007F2DAC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</w:p>
    <w:p w14:paraId="7DC9DDA7" w14:textId="1F26646A" w:rsidR="00EB4E5C" w:rsidRPr="00A33B3B" w:rsidRDefault="00EB4E5C" w:rsidP="007F2DAC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proofErr w:type="spellStart"/>
      <w:r w:rsidRPr="00A33B3B">
        <w:rPr>
          <w:b/>
          <w:sz w:val="20"/>
          <w:szCs w:val="20"/>
          <w:lang w:val="uk-UA"/>
        </w:rPr>
        <w:t>Improving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the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energy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efficiency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of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sports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complexes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through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analysis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of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the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non-stationary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thermal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dynamics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of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ground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heat</w:t>
      </w:r>
      <w:proofErr w:type="spellEnd"/>
      <w:r w:rsidRPr="00A33B3B">
        <w:rPr>
          <w:b/>
          <w:sz w:val="20"/>
          <w:szCs w:val="20"/>
          <w:lang w:val="uk-UA"/>
        </w:rPr>
        <w:t xml:space="preserve"> </w:t>
      </w:r>
      <w:proofErr w:type="spellStart"/>
      <w:r w:rsidRPr="00A33B3B">
        <w:rPr>
          <w:b/>
          <w:sz w:val="20"/>
          <w:szCs w:val="20"/>
          <w:lang w:val="uk-UA"/>
        </w:rPr>
        <w:t>exchangers</w:t>
      </w:r>
      <w:proofErr w:type="spellEnd"/>
    </w:p>
    <w:p w14:paraId="33C424D6" w14:textId="77777777" w:rsidR="007F2DAC" w:rsidRPr="00A33B3B" w:rsidRDefault="007F2DAC" w:rsidP="007F2DAC">
      <w:pPr>
        <w:tabs>
          <w:tab w:val="left" w:pos="567"/>
        </w:tabs>
        <w:jc w:val="center"/>
        <w:rPr>
          <w:b/>
          <w:caps/>
          <w:sz w:val="20"/>
          <w:szCs w:val="20"/>
          <w:lang w:val="en-US"/>
        </w:rPr>
      </w:pPr>
    </w:p>
    <w:p w14:paraId="07F7D4A9" w14:textId="5BD1A957" w:rsidR="007F2DAC" w:rsidRDefault="006B7F10" w:rsidP="006B7F10">
      <w:pPr>
        <w:tabs>
          <w:tab w:val="left" w:pos="0"/>
        </w:tabs>
        <w:ind w:firstLine="567"/>
        <w:jc w:val="both"/>
        <w:rPr>
          <w:b/>
          <w:sz w:val="20"/>
          <w:szCs w:val="20"/>
          <w:lang w:val="en-US"/>
        </w:rPr>
      </w:pPr>
      <w:proofErr w:type="spellStart"/>
      <w:r w:rsidRPr="006B7F10">
        <w:rPr>
          <w:b/>
          <w:sz w:val="20"/>
          <w:szCs w:val="20"/>
          <w:lang w:val="uk-UA"/>
        </w:rPr>
        <w:t>Шамич</w:t>
      </w:r>
      <w:proofErr w:type="spellEnd"/>
      <w:r w:rsidRPr="006B7F10">
        <w:rPr>
          <w:b/>
          <w:sz w:val="20"/>
          <w:szCs w:val="20"/>
          <w:lang w:val="uk-UA"/>
        </w:rPr>
        <w:t xml:space="preserve"> О.М., </w:t>
      </w:r>
      <w:proofErr w:type="spellStart"/>
      <w:r w:rsidRPr="006B7F10">
        <w:rPr>
          <w:b/>
          <w:sz w:val="20"/>
          <w:szCs w:val="20"/>
          <w:lang w:val="uk-UA"/>
        </w:rPr>
        <w:t>д.псих.н</w:t>
      </w:r>
      <w:proofErr w:type="spellEnd"/>
      <w:r w:rsidRPr="006B7F10">
        <w:rPr>
          <w:b/>
          <w:sz w:val="20"/>
          <w:szCs w:val="20"/>
          <w:lang w:val="uk-UA"/>
        </w:rPr>
        <w:t>., проф.,</w:t>
      </w:r>
      <w:r>
        <w:rPr>
          <w:b/>
          <w:sz w:val="20"/>
          <w:szCs w:val="20"/>
          <w:lang w:val="en-US"/>
        </w:rPr>
        <w:t xml:space="preserve"> (</w:t>
      </w:r>
      <w:r w:rsidRPr="006B7F10">
        <w:rPr>
          <w:b/>
          <w:sz w:val="20"/>
          <w:szCs w:val="20"/>
          <w:lang w:val="uk-UA"/>
        </w:rPr>
        <w:t>Київський національний університет будівництва і архітектури, м. Київ</w:t>
      </w:r>
      <w:r>
        <w:rPr>
          <w:b/>
          <w:sz w:val="20"/>
          <w:szCs w:val="20"/>
          <w:lang w:val="en-US"/>
        </w:rPr>
        <w:t>),</w:t>
      </w:r>
      <w:r w:rsidRPr="006B7F10">
        <w:rPr>
          <w:b/>
          <w:sz w:val="20"/>
          <w:szCs w:val="20"/>
          <w:lang w:val="uk-UA"/>
        </w:rPr>
        <w:t xml:space="preserve"> </w:t>
      </w:r>
      <w:proofErr w:type="spellStart"/>
      <w:r w:rsidRPr="006B7F10">
        <w:rPr>
          <w:b/>
          <w:sz w:val="20"/>
          <w:szCs w:val="20"/>
          <w:lang w:val="uk-UA"/>
        </w:rPr>
        <w:t>Човнюк</w:t>
      </w:r>
      <w:proofErr w:type="spellEnd"/>
      <w:r w:rsidRPr="006B7F10">
        <w:rPr>
          <w:b/>
          <w:sz w:val="20"/>
          <w:szCs w:val="20"/>
          <w:lang w:val="uk-UA"/>
        </w:rPr>
        <w:t xml:space="preserve"> Ю.В., </w:t>
      </w:r>
      <w:proofErr w:type="spellStart"/>
      <w:r w:rsidRPr="006B7F10">
        <w:rPr>
          <w:b/>
          <w:sz w:val="20"/>
          <w:szCs w:val="20"/>
          <w:lang w:val="uk-UA"/>
        </w:rPr>
        <w:t>к.т.н</w:t>
      </w:r>
      <w:proofErr w:type="spellEnd"/>
      <w:r w:rsidRPr="006B7F10">
        <w:rPr>
          <w:b/>
          <w:sz w:val="20"/>
          <w:szCs w:val="20"/>
          <w:lang w:val="uk-UA"/>
        </w:rPr>
        <w:t>., доц.,</w:t>
      </w:r>
      <w:r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en-US"/>
        </w:rPr>
        <w:t>(</w:t>
      </w:r>
      <w:r w:rsidRPr="006B7F10">
        <w:rPr>
          <w:b/>
          <w:sz w:val="20"/>
          <w:szCs w:val="20"/>
          <w:lang w:val="uk-UA"/>
        </w:rPr>
        <w:t>Київський національний університет будівництва і архітектури, м. Київ</w:t>
      </w:r>
      <w:r>
        <w:rPr>
          <w:b/>
          <w:sz w:val="20"/>
          <w:szCs w:val="20"/>
          <w:lang w:val="en-US"/>
        </w:rPr>
        <w:t>)</w:t>
      </w:r>
      <w:r>
        <w:rPr>
          <w:b/>
          <w:sz w:val="20"/>
          <w:szCs w:val="20"/>
          <w:lang w:val="uk-UA"/>
        </w:rPr>
        <w:t>,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 w:rsidRPr="006B7F10">
        <w:rPr>
          <w:b/>
          <w:sz w:val="20"/>
          <w:szCs w:val="20"/>
          <w:lang w:val="uk-UA"/>
        </w:rPr>
        <w:t>Москвітіна</w:t>
      </w:r>
      <w:proofErr w:type="spellEnd"/>
      <w:r w:rsidRPr="006B7F10">
        <w:rPr>
          <w:b/>
          <w:sz w:val="20"/>
          <w:szCs w:val="20"/>
          <w:lang w:val="uk-UA"/>
        </w:rPr>
        <w:t xml:space="preserve"> А.С., </w:t>
      </w:r>
      <w:proofErr w:type="spellStart"/>
      <w:r w:rsidRPr="006B7F10">
        <w:rPr>
          <w:b/>
          <w:sz w:val="20"/>
          <w:szCs w:val="20"/>
          <w:lang w:val="uk-UA"/>
        </w:rPr>
        <w:t>к.т.н</w:t>
      </w:r>
      <w:proofErr w:type="spellEnd"/>
      <w:r w:rsidRPr="006B7F10">
        <w:rPr>
          <w:b/>
          <w:sz w:val="20"/>
          <w:szCs w:val="20"/>
          <w:lang w:val="uk-UA"/>
        </w:rPr>
        <w:t>., доц.</w:t>
      </w:r>
      <w:r>
        <w:rPr>
          <w:b/>
          <w:sz w:val="20"/>
          <w:szCs w:val="20"/>
          <w:lang w:val="en-US"/>
        </w:rPr>
        <w:t xml:space="preserve"> (</w:t>
      </w:r>
      <w:r w:rsidRPr="006B7F10">
        <w:rPr>
          <w:b/>
          <w:sz w:val="20"/>
          <w:szCs w:val="20"/>
          <w:lang w:val="uk-UA"/>
        </w:rPr>
        <w:t>Київський національний університет будівництва і архітектури, м. Київ</w:t>
      </w:r>
      <w:r>
        <w:rPr>
          <w:b/>
          <w:sz w:val="20"/>
          <w:szCs w:val="20"/>
          <w:lang w:val="en-US"/>
        </w:rPr>
        <w:t>)</w:t>
      </w:r>
    </w:p>
    <w:p w14:paraId="155A56D5" w14:textId="45C1F641" w:rsidR="00EB4E5C" w:rsidRDefault="00EB4E5C" w:rsidP="006B7F10">
      <w:pPr>
        <w:tabs>
          <w:tab w:val="left" w:pos="0"/>
        </w:tabs>
        <w:ind w:firstLine="567"/>
        <w:jc w:val="both"/>
        <w:rPr>
          <w:b/>
          <w:sz w:val="20"/>
          <w:szCs w:val="20"/>
          <w:lang w:val="en-US"/>
        </w:rPr>
      </w:pPr>
    </w:p>
    <w:p w14:paraId="3D110364" w14:textId="0D2EF250" w:rsidR="00EB4E5C" w:rsidRPr="006B7F10" w:rsidRDefault="00EB4E5C" w:rsidP="006B7F10">
      <w:pPr>
        <w:tabs>
          <w:tab w:val="left" w:pos="0"/>
        </w:tabs>
        <w:ind w:firstLine="567"/>
        <w:jc w:val="both"/>
        <w:rPr>
          <w:b/>
          <w:sz w:val="20"/>
          <w:szCs w:val="20"/>
          <w:lang w:val="en-US"/>
        </w:rPr>
      </w:pPr>
      <w:proofErr w:type="spellStart"/>
      <w:r w:rsidRPr="00EB4E5C">
        <w:rPr>
          <w:b/>
          <w:sz w:val="20"/>
          <w:szCs w:val="20"/>
          <w:lang w:val="en-US"/>
        </w:rPr>
        <w:t>Shamych</w:t>
      </w:r>
      <w:proofErr w:type="spellEnd"/>
      <w:r w:rsidRPr="00EB4E5C">
        <w:rPr>
          <w:b/>
          <w:sz w:val="20"/>
          <w:szCs w:val="20"/>
          <w:lang w:val="en-US"/>
        </w:rPr>
        <w:t xml:space="preserve"> O.</w:t>
      </w:r>
      <w:r w:rsidRPr="00A33B3B">
        <w:rPr>
          <w:lang w:val="en-US"/>
        </w:rPr>
        <w:t xml:space="preserve"> </w:t>
      </w:r>
      <w:r w:rsidRPr="00EB4E5C">
        <w:rPr>
          <w:b/>
          <w:sz w:val="20"/>
          <w:szCs w:val="20"/>
          <w:lang w:val="en-US"/>
        </w:rPr>
        <w:t xml:space="preserve">M., Doctor of Psychology, Professor, (Kyiv National University of Construction and Architecture, Kyiv), </w:t>
      </w:r>
      <w:proofErr w:type="spellStart"/>
      <w:r w:rsidRPr="00EB4E5C">
        <w:rPr>
          <w:b/>
          <w:sz w:val="20"/>
          <w:szCs w:val="20"/>
          <w:lang w:val="en-US"/>
        </w:rPr>
        <w:t>Chovniuk</w:t>
      </w:r>
      <w:proofErr w:type="spellEnd"/>
      <w:r w:rsidRPr="00EB4E5C">
        <w:rPr>
          <w:b/>
          <w:sz w:val="20"/>
          <w:szCs w:val="20"/>
          <w:lang w:val="en-US"/>
        </w:rPr>
        <w:t xml:space="preserve"> Y.V., Ph.D., Associate Professor, (Kyiv National University of Construction and Architecture, Kyiv), </w:t>
      </w:r>
      <w:proofErr w:type="spellStart"/>
      <w:r w:rsidRPr="00EB4E5C">
        <w:rPr>
          <w:b/>
          <w:sz w:val="20"/>
          <w:szCs w:val="20"/>
          <w:lang w:val="en-US"/>
        </w:rPr>
        <w:t>Moskvitina</w:t>
      </w:r>
      <w:proofErr w:type="spellEnd"/>
      <w:r w:rsidRPr="00EB4E5C">
        <w:rPr>
          <w:b/>
          <w:sz w:val="20"/>
          <w:szCs w:val="20"/>
          <w:lang w:val="en-US"/>
        </w:rPr>
        <w:t xml:space="preserve"> A.S., Ph.D., Associate Professor. (Kyiv National University of Construction and Architecture, Kyiv)</w:t>
      </w:r>
      <w:r>
        <w:rPr>
          <w:b/>
          <w:sz w:val="20"/>
          <w:szCs w:val="20"/>
          <w:lang w:val="en-US"/>
        </w:rPr>
        <w:t xml:space="preserve"> </w:t>
      </w:r>
    </w:p>
    <w:p w14:paraId="7FE469E4" w14:textId="77777777" w:rsidR="007F2DAC" w:rsidRPr="00624C5F" w:rsidRDefault="007F2DAC" w:rsidP="007F2DAC">
      <w:pPr>
        <w:tabs>
          <w:tab w:val="left" w:pos="567"/>
        </w:tabs>
        <w:ind w:firstLine="284"/>
        <w:jc w:val="center"/>
        <w:rPr>
          <w:sz w:val="20"/>
          <w:szCs w:val="20"/>
          <w:lang w:val="en-US"/>
        </w:rPr>
      </w:pPr>
    </w:p>
    <w:p w14:paraId="78BF3BCC" w14:textId="185127FF" w:rsidR="007F2DAC" w:rsidRDefault="006B7F10" w:rsidP="007F2DAC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US"/>
        </w:rPr>
      </w:pPr>
      <w:r w:rsidRPr="006B7F10">
        <w:rPr>
          <w:i/>
          <w:sz w:val="18"/>
          <w:szCs w:val="18"/>
          <w:lang w:val="uk-UA"/>
        </w:rPr>
        <w:t>У роботі отримане гіперболічне рівняння теплопровідності, яке адекватно описує нестаціонарні процеси теплообміну рідини (теплоносія) у ґрунтових теплообмінниках, призначених для підвищення енергоефективності функціонування спортивних будівель та споруд</w:t>
      </w:r>
      <w:r w:rsidR="00EB4E5C">
        <w:rPr>
          <w:i/>
          <w:sz w:val="18"/>
          <w:szCs w:val="18"/>
          <w:lang w:val="en-US"/>
        </w:rPr>
        <w:t>.</w:t>
      </w:r>
    </w:p>
    <w:p w14:paraId="7C781BDA" w14:textId="26D17F92" w:rsidR="00EB4E5C" w:rsidRDefault="00EB4E5C" w:rsidP="007F2DAC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US"/>
        </w:rPr>
      </w:pPr>
    </w:p>
    <w:p w14:paraId="4E17C3CD" w14:textId="0C424AC9" w:rsidR="00EB4E5C" w:rsidRPr="00EB4E5C" w:rsidRDefault="00EB4E5C" w:rsidP="007F2DAC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US"/>
        </w:rPr>
      </w:pPr>
      <w:r w:rsidRPr="00EB4E5C">
        <w:rPr>
          <w:i/>
          <w:sz w:val="18"/>
          <w:szCs w:val="18"/>
          <w:lang w:val="en-US"/>
        </w:rPr>
        <w:t>The paper presents a hyperbolic heat conduction equation that adequately describes the non-stationary processes of heat exchange of a fluid (heat carrier) in ground heat exchangers designed to improve the energy efficiency of sports buildings and structures.</w:t>
      </w:r>
    </w:p>
    <w:p w14:paraId="5B65F792" w14:textId="77777777" w:rsidR="007F2DAC" w:rsidRPr="00A33B3B" w:rsidRDefault="007F2DAC" w:rsidP="007F2DAC">
      <w:pPr>
        <w:tabs>
          <w:tab w:val="left" w:pos="567"/>
        </w:tabs>
        <w:ind w:firstLine="567"/>
        <w:jc w:val="both"/>
        <w:rPr>
          <w:b/>
          <w:i/>
          <w:sz w:val="18"/>
          <w:szCs w:val="18"/>
          <w:lang w:val="en-US"/>
        </w:rPr>
      </w:pPr>
    </w:p>
    <w:p w14:paraId="361C0AD0" w14:textId="695852C9" w:rsidR="006B7F10" w:rsidRPr="006B7F10" w:rsidRDefault="006A25B4" w:rsidP="006B7F10">
      <w:pPr>
        <w:ind w:firstLine="284"/>
        <w:jc w:val="both"/>
        <w:rPr>
          <w:sz w:val="20"/>
          <w:szCs w:val="20"/>
          <w:lang w:val="uk-UA"/>
        </w:rPr>
      </w:pPr>
      <w:r w:rsidRPr="006A25B4">
        <w:rPr>
          <w:sz w:val="20"/>
          <w:szCs w:val="20"/>
          <w:lang w:val="uk-UA"/>
        </w:rPr>
        <w:t xml:space="preserve">Вивчення процесів нестаціонарної теплопровідності, розрахунок параметрів середовищ в умовах  нестаціонарної теплопровідності останніх – важливий напрямок, який використовується в прикладних задачах </w:t>
      </w:r>
      <w:proofErr w:type="spellStart"/>
      <w:r w:rsidRPr="006A25B4">
        <w:rPr>
          <w:sz w:val="20"/>
          <w:szCs w:val="20"/>
          <w:lang w:val="uk-UA"/>
        </w:rPr>
        <w:t>тепломасообміну</w:t>
      </w:r>
      <w:proofErr w:type="spellEnd"/>
      <w:r w:rsidRPr="006A25B4">
        <w:rPr>
          <w:sz w:val="20"/>
          <w:szCs w:val="20"/>
          <w:lang w:val="uk-UA"/>
        </w:rPr>
        <w:t xml:space="preserve">. При розв’язанні математичної моделі при різних граничних умовах є проблема достовірності чисельних розрахунків, тому є необхідність в вирішенні математичної моделі аналітичним методом. Наприклад, математична модель процесів </w:t>
      </w:r>
      <w:proofErr w:type="spellStart"/>
      <w:r w:rsidRPr="006A25B4">
        <w:rPr>
          <w:sz w:val="20"/>
          <w:szCs w:val="20"/>
          <w:lang w:val="uk-UA"/>
        </w:rPr>
        <w:t>тепломасообміну</w:t>
      </w:r>
      <w:proofErr w:type="spellEnd"/>
      <w:r w:rsidRPr="006A25B4">
        <w:rPr>
          <w:sz w:val="20"/>
          <w:szCs w:val="20"/>
          <w:lang w:val="uk-UA"/>
        </w:rPr>
        <w:t xml:space="preserve"> в акумуляторі теплоти при його зарядці та розрядці вирішується аналітично методом функції Гріна [1].</w:t>
      </w:r>
      <w:r>
        <w:rPr>
          <w:sz w:val="20"/>
          <w:szCs w:val="20"/>
          <w:lang w:val="uk-UA"/>
        </w:rPr>
        <w:t xml:space="preserve"> </w:t>
      </w:r>
      <w:r w:rsidRPr="006A25B4">
        <w:rPr>
          <w:sz w:val="20"/>
          <w:szCs w:val="20"/>
          <w:lang w:val="uk-UA"/>
        </w:rPr>
        <w:t xml:space="preserve">Акумулятори великої теплової ємності організовуються у природному ґрунтовому масиві впорядкованого сукупністю (“кущем”) вертикальних/горизонтальних теплообмінників, розміщених або у бурових свердловинах. У результаті акумулювання створюється основна область накопиченої теплоти, яка обмежена зовнішнім контуром “куща”, певного об’єму й з певною температурою, а також буферна </w:t>
      </w:r>
      <w:proofErr w:type="spellStart"/>
      <w:r w:rsidRPr="006A25B4">
        <w:rPr>
          <w:sz w:val="20"/>
          <w:szCs w:val="20"/>
          <w:lang w:val="uk-UA"/>
        </w:rPr>
        <w:t>підобласть</w:t>
      </w:r>
      <w:proofErr w:type="spellEnd"/>
      <w:r w:rsidRPr="006A25B4">
        <w:rPr>
          <w:sz w:val="20"/>
          <w:szCs w:val="20"/>
          <w:lang w:val="uk-UA"/>
        </w:rPr>
        <w:t xml:space="preserve"> деякого </w:t>
      </w:r>
      <w:r w:rsidRPr="006A25B4">
        <w:rPr>
          <w:sz w:val="20"/>
          <w:szCs w:val="20"/>
          <w:lang w:val="uk-UA"/>
        </w:rPr>
        <w:lastRenderedPageBreak/>
        <w:t xml:space="preserve">об’єму, яка дотикається до основної і є результатом теплової взаємодії  об’єму основної області  з оточуючим ґрунтовим масивом, який має постійну температуру.  Найменші розміри буферної </w:t>
      </w:r>
      <w:proofErr w:type="spellStart"/>
      <w:r w:rsidRPr="006A25B4">
        <w:rPr>
          <w:sz w:val="20"/>
          <w:szCs w:val="20"/>
          <w:lang w:val="uk-UA"/>
        </w:rPr>
        <w:t>підобласті</w:t>
      </w:r>
      <w:proofErr w:type="spellEnd"/>
      <w:r w:rsidRPr="006A25B4">
        <w:rPr>
          <w:sz w:val="20"/>
          <w:szCs w:val="20"/>
          <w:lang w:val="uk-UA"/>
        </w:rPr>
        <w:t xml:space="preserve"> будуть у випадку рівномірного по основному об’єму розподілу температури. Це досягається організацією однакового теплового навантаження, яке припадає на кожний теплообмінник, однаковим потенціалом проміжного теплоносія й малим перепадом його температур, відповідно на вході й виході кожного теплообмінника й низкою інших вимог. Розміри буферної </w:t>
      </w:r>
      <w:proofErr w:type="spellStart"/>
      <w:r w:rsidRPr="006A25B4">
        <w:rPr>
          <w:sz w:val="20"/>
          <w:szCs w:val="20"/>
          <w:lang w:val="uk-UA"/>
        </w:rPr>
        <w:t>підобласті</w:t>
      </w:r>
      <w:proofErr w:type="spellEnd"/>
      <w:r w:rsidRPr="006A25B4">
        <w:rPr>
          <w:sz w:val="20"/>
          <w:szCs w:val="20"/>
          <w:lang w:val="uk-UA"/>
        </w:rPr>
        <w:t xml:space="preserve"> можна зменшувати, якщо створити верхній теплоізоляційний щит. Це призведе до зменшення габаритів усієї конструкції й відпаде необхідність теплоізоляції трубопроводів, які підводять й відводять теплоносій</w:t>
      </w:r>
      <w:r>
        <w:rPr>
          <w:sz w:val="20"/>
          <w:szCs w:val="20"/>
          <w:lang w:val="uk-UA"/>
        </w:rPr>
        <w:t xml:space="preserve"> </w:t>
      </w:r>
      <w:r w:rsidRPr="006A25B4">
        <w:rPr>
          <w:sz w:val="20"/>
          <w:szCs w:val="20"/>
          <w:lang w:val="uk-UA"/>
        </w:rPr>
        <w:t>[</w:t>
      </w:r>
      <w:r>
        <w:rPr>
          <w:sz w:val="20"/>
          <w:szCs w:val="20"/>
          <w:lang w:val="uk-UA"/>
        </w:rPr>
        <w:t>2, 3</w:t>
      </w:r>
      <w:r w:rsidRPr="006A25B4">
        <w:rPr>
          <w:sz w:val="20"/>
          <w:szCs w:val="20"/>
          <w:lang w:val="uk-UA"/>
        </w:rPr>
        <w:t xml:space="preserve">]. При цьому габарити конструкції повинні бути оптимальними, тобто відповідати певному критерію, за якого відношення об’єму буферної </w:t>
      </w:r>
      <w:proofErr w:type="spellStart"/>
      <w:r w:rsidRPr="006A25B4">
        <w:rPr>
          <w:sz w:val="20"/>
          <w:szCs w:val="20"/>
          <w:lang w:val="uk-UA"/>
        </w:rPr>
        <w:t>підобласті</w:t>
      </w:r>
      <w:proofErr w:type="spellEnd"/>
      <w:r w:rsidRPr="006A25B4">
        <w:rPr>
          <w:sz w:val="20"/>
          <w:szCs w:val="20"/>
          <w:lang w:val="uk-UA"/>
        </w:rPr>
        <w:t xml:space="preserve"> до об’єму всього акумулятора теплоти є мінімальним. </w:t>
      </w:r>
      <w:r w:rsidR="006B7F10" w:rsidRPr="006B7F10">
        <w:rPr>
          <w:sz w:val="20"/>
          <w:szCs w:val="20"/>
          <w:lang w:val="uk-UA"/>
        </w:rPr>
        <w:t>У рамках дослідження розроблено та застосовано гіперболічне рівняння теплопровідності. Це рівняння забезпечує адекватне моделювання нестаціонарних процесів теплообміну теплоносія в ґрунтових теплообмінниках, що використовуються для підвищення енергоефективного теплопостачання спортивних споруд</w:t>
      </w:r>
      <w:r w:rsidR="00184816">
        <w:rPr>
          <w:sz w:val="20"/>
          <w:szCs w:val="20"/>
          <w:lang w:val="uk-UA"/>
        </w:rPr>
        <w:t xml:space="preserve"> </w:t>
      </w:r>
      <w:r w:rsidR="00184816" w:rsidRPr="00A33B3B">
        <w:rPr>
          <w:sz w:val="20"/>
          <w:szCs w:val="20"/>
          <w:lang w:val="uk-UA"/>
        </w:rPr>
        <w:t>[1, 2]</w:t>
      </w:r>
      <w:r w:rsidR="006B7F10" w:rsidRPr="006B7F10">
        <w:rPr>
          <w:sz w:val="20"/>
          <w:szCs w:val="20"/>
          <w:lang w:val="uk-UA"/>
        </w:rPr>
        <w:t>. При розв’язку початково-крайової задачі (задачі Коші) у циліндричній системі координат враховано рух рідини. Для аналітичного розв’язку було використано метод функцій Гріна.</w:t>
      </w:r>
    </w:p>
    <w:p w14:paraId="6CD78D2D" w14:textId="0F4CF365" w:rsidR="006B7F10" w:rsidRPr="006B7F10" w:rsidRDefault="006B7F10" w:rsidP="006B7F10">
      <w:pPr>
        <w:ind w:firstLine="284"/>
        <w:jc w:val="both"/>
        <w:rPr>
          <w:sz w:val="20"/>
          <w:szCs w:val="20"/>
          <w:lang w:val="uk-UA"/>
        </w:rPr>
      </w:pPr>
      <w:r w:rsidRPr="006B7F10">
        <w:rPr>
          <w:sz w:val="20"/>
          <w:szCs w:val="20"/>
          <w:lang w:val="uk-UA"/>
        </w:rPr>
        <w:t xml:space="preserve">Даний розв'язок, заснований на гіперболічній теорії теплопровідності, яка враховує скінченність швидкості розповсюдження тепла, що є ключовим для точного моделювання. Використання цього підходу дозволяє: по-перше, точніше встановлювати вимоги до міцності трубних елементів ґрунтових теплообмінників з урахуванням дії термодинамічних навантажень; по-друге, більш детально і достовірно визначати температурний профіль у циліндричній трубі. Зрештою, це дає можливість оптимізувати перехідні процеси (пуск/зупинка) ґрунтових теплообмінників, що є прямим шляхом до підвищення енергоефективності та екологічності експлуатації закритих спортивних будівель, які використовують ґрунтові акумулятори теплоти та </w:t>
      </w:r>
      <w:proofErr w:type="spellStart"/>
      <w:r w:rsidRPr="006B7F10">
        <w:rPr>
          <w:sz w:val="20"/>
          <w:szCs w:val="20"/>
          <w:lang w:val="uk-UA"/>
        </w:rPr>
        <w:t>теплонасосні</w:t>
      </w:r>
      <w:proofErr w:type="spellEnd"/>
      <w:r w:rsidRPr="006B7F10">
        <w:rPr>
          <w:sz w:val="20"/>
          <w:szCs w:val="20"/>
          <w:lang w:val="uk-UA"/>
        </w:rPr>
        <w:t xml:space="preserve"> системи опалення та охолодження</w:t>
      </w:r>
      <w:r w:rsidR="00184816" w:rsidRPr="00A33B3B">
        <w:rPr>
          <w:sz w:val="20"/>
          <w:szCs w:val="20"/>
          <w:lang w:val="uk-UA"/>
        </w:rPr>
        <w:t xml:space="preserve"> [</w:t>
      </w:r>
      <w:r w:rsidR="006A25B4" w:rsidRPr="00A33B3B">
        <w:rPr>
          <w:sz w:val="20"/>
          <w:szCs w:val="20"/>
          <w:lang w:val="uk-UA"/>
        </w:rPr>
        <w:t>4</w:t>
      </w:r>
      <w:r w:rsidR="00184816" w:rsidRPr="00A33B3B">
        <w:rPr>
          <w:sz w:val="20"/>
          <w:szCs w:val="20"/>
          <w:lang w:val="uk-UA"/>
        </w:rPr>
        <w:t xml:space="preserve">, </w:t>
      </w:r>
      <w:r w:rsidR="006A25B4" w:rsidRPr="00A33B3B">
        <w:rPr>
          <w:sz w:val="20"/>
          <w:szCs w:val="20"/>
          <w:lang w:val="uk-UA"/>
        </w:rPr>
        <w:t>5</w:t>
      </w:r>
      <w:r w:rsidR="00184816" w:rsidRPr="00A33B3B">
        <w:rPr>
          <w:sz w:val="20"/>
          <w:szCs w:val="20"/>
          <w:lang w:val="uk-UA"/>
        </w:rPr>
        <w:t>]</w:t>
      </w:r>
      <w:r w:rsidRPr="006B7F10">
        <w:rPr>
          <w:sz w:val="20"/>
          <w:szCs w:val="20"/>
          <w:lang w:val="uk-UA"/>
        </w:rPr>
        <w:t>.</w:t>
      </w:r>
    </w:p>
    <w:p w14:paraId="244FD95B" w14:textId="47697952" w:rsidR="006B7F10" w:rsidRPr="006B7F10" w:rsidRDefault="006B7F10" w:rsidP="006B7F10">
      <w:pPr>
        <w:ind w:firstLine="284"/>
        <w:jc w:val="both"/>
        <w:rPr>
          <w:sz w:val="20"/>
          <w:szCs w:val="20"/>
          <w:lang w:val="uk-UA"/>
        </w:rPr>
      </w:pPr>
      <w:r w:rsidRPr="006B7F10">
        <w:rPr>
          <w:sz w:val="20"/>
          <w:szCs w:val="20"/>
          <w:lang w:val="uk-UA"/>
        </w:rPr>
        <w:t xml:space="preserve">Аналітичне представлення нестаціонарних теплових полів, що виникають у прямолінійних трубних елементах ґрунтових теплообмінників, забезпечено завдяки точним періодичним та нестаціонарним розв'язкам гіперболічного рівняння теплопровідності (відомого також як телеграфне рівняння або лінійне рівняння Клейна–Гордона). Ці рішення отримані безпосередньо в часовій області із застосуванням методу функцій Гріна, що відповідає підходу, який називається не-Фур’є-аналіз (аналогічно роботам А.Б. </w:t>
      </w:r>
      <w:proofErr w:type="spellStart"/>
      <w:r w:rsidRPr="006B7F10">
        <w:rPr>
          <w:sz w:val="20"/>
          <w:szCs w:val="20"/>
          <w:lang w:val="uk-UA"/>
        </w:rPr>
        <w:t>Шварцбурга</w:t>
      </w:r>
      <w:proofErr w:type="spellEnd"/>
      <w:r w:rsidRPr="006B7F10">
        <w:rPr>
          <w:sz w:val="20"/>
          <w:szCs w:val="20"/>
          <w:lang w:val="uk-UA"/>
        </w:rPr>
        <w:t xml:space="preserve">), і дозволяє уникнути традиційних Фур’є-розкладів. З метою врахування неізометричних параметрів, </w:t>
      </w:r>
      <w:proofErr w:type="spellStart"/>
      <w:r w:rsidRPr="006B7F10">
        <w:rPr>
          <w:sz w:val="20"/>
          <w:szCs w:val="20"/>
          <w:lang w:val="uk-UA"/>
        </w:rPr>
        <w:t>конвективний</w:t>
      </w:r>
      <w:proofErr w:type="spellEnd"/>
      <w:r w:rsidRPr="006B7F10">
        <w:rPr>
          <w:sz w:val="20"/>
          <w:szCs w:val="20"/>
          <w:lang w:val="uk-UA"/>
        </w:rPr>
        <w:t xml:space="preserve"> </w:t>
      </w:r>
      <w:proofErr w:type="spellStart"/>
      <w:r w:rsidRPr="006B7F10">
        <w:rPr>
          <w:sz w:val="20"/>
          <w:szCs w:val="20"/>
          <w:lang w:val="uk-UA"/>
        </w:rPr>
        <w:t>теплоперенос</w:t>
      </w:r>
      <w:proofErr w:type="spellEnd"/>
      <w:r w:rsidRPr="006B7F10">
        <w:rPr>
          <w:sz w:val="20"/>
          <w:szCs w:val="20"/>
          <w:lang w:val="uk-UA"/>
        </w:rPr>
        <w:t xml:space="preserve"> розраховано аналітично за допомогою рівняння теплообміну</w:t>
      </w:r>
      <w:r w:rsidR="00184816" w:rsidRPr="00A33B3B">
        <w:rPr>
          <w:sz w:val="20"/>
          <w:szCs w:val="20"/>
        </w:rPr>
        <w:t xml:space="preserve"> [</w:t>
      </w:r>
      <w:r w:rsidR="006A25B4">
        <w:rPr>
          <w:sz w:val="20"/>
          <w:szCs w:val="20"/>
        </w:rPr>
        <w:t>6</w:t>
      </w:r>
      <w:r w:rsidR="00184816" w:rsidRPr="00A33B3B">
        <w:rPr>
          <w:sz w:val="20"/>
          <w:szCs w:val="20"/>
        </w:rPr>
        <w:t>]</w:t>
      </w:r>
      <w:r w:rsidRPr="006B7F10">
        <w:rPr>
          <w:sz w:val="20"/>
          <w:szCs w:val="20"/>
          <w:lang w:val="uk-UA"/>
        </w:rPr>
        <w:t xml:space="preserve">. </w:t>
      </w:r>
      <w:r w:rsidRPr="006B7F10">
        <w:rPr>
          <w:sz w:val="20"/>
          <w:szCs w:val="20"/>
          <w:lang w:val="uk-UA"/>
        </w:rPr>
        <w:lastRenderedPageBreak/>
        <w:t xml:space="preserve">Застосовано модель, де перенесення теплоти для кожного з двох середовищ (рідина – тверде тіло) описується окремим рівнянням теплообміну: а) для рідкої фази (теплоносій, водний розчин </w:t>
      </w:r>
      <w:proofErr w:type="spellStart"/>
      <w:r w:rsidRPr="006B7F10">
        <w:rPr>
          <w:sz w:val="20"/>
          <w:szCs w:val="20"/>
          <w:lang w:val="uk-UA"/>
        </w:rPr>
        <w:t>пропіленгліколю</w:t>
      </w:r>
      <w:proofErr w:type="spellEnd"/>
      <w:r w:rsidRPr="006B7F10">
        <w:rPr>
          <w:sz w:val="20"/>
          <w:szCs w:val="20"/>
          <w:lang w:val="uk-UA"/>
        </w:rPr>
        <w:t xml:space="preserve">); б) для твердого тіла (стінка труби, ґрунт). Під час моделювання було задано початкові та граничні (крайові) умови, що відповідають третій крайовій задачі. Ці умови були сформовані згідно з реальними розрахунковими </w:t>
      </w:r>
      <w:proofErr w:type="spellStart"/>
      <w:r w:rsidRPr="006B7F10">
        <w:rPr>
          <w:sz w:val="20"/>
          <w:szCs w:val="20"/>
          <w:lang w:val="uk-UA"/>
        </w:rPr>
        <w:t>залежностями</w:t>
      </w:r>
      <w:proofErr w:type="spellEnd"/>
      <w:r w:rsidRPr="006B7F10">
        <w:rPr>
          <w:sz w:val="20"/>
          <w:szCs w:val="20"/>
          <w:lang w:val="uk-UA"/>
        </w:rPr>
        <w:t xml:space="preserve"> та параметрами, характерними для систем акумулювання теплоти в ґрунтовому масиві, а також з урахуванням специфіки експлуатації та ключових характеристик сучасних закритих спортивних споруд</w:t>
      </w:r>
      <w:r w:rsidR="006A25B4" w:rsidRPr="00A33B3B">
        <w:rPr>
          <w:sz w:val="20"/>
          <w:szCs w:val="20"/>
        </w:rPr>
        <w:t xml:space="preserve"> [7, 8</w:t>
      </w:r>
      <w:r w:rsidR="00184816" w:rsidRPr="00A33B3B">
        <w:rPr>
          <w:sz w:val="20"/>
          <w:szCs w:val="20"/>
        </w:rPr>
        <w:t>]</w:t>
      </w:r>
      <w:r w:rsidRPr="006B7F10">
        <w:rPr>
          <w:sz w:val="20"/>
          <w:szCs w:val="20"/>
          <w:lang w:val="uk-UA"/>
        </w:rPr>
        <w:t>.</w:t>
      </w:r>
    </w:p>
    <w:p w14:paraId="40C18352" w14:textId="7C7CC703" w:rsidR="007F2DAC" w:rsidRPr="00B77470" w:rsidRDefault="006B7F10" w:rsidP="006B7F10">
      <w:pPr>
        <w:ind w:firstLine="284"/>
        <w:jc w:val="both"/>
        <w:rPr>
          <w:sz w:val="16"/>
          <w:szCs w:val="16"/>
          <w:lang w:val="uk-UA"/>
        </w:rPr>
      </w:pPr>
      <w:r w:rsidRPr="006B7F10">
        <w:rPr>
          <w:sz w:val="20"/>
          <w:szCs w:val="20"/>
          <w:lang w:val="uk-UA"/>
        </w:rPr>
        <w:t xml:space="preserve">Результати роботи, що демонструють розподіл температурного поля в одиночних прямолінійних трубних елементах (теплообмінниках), підтверджують можливість та доцільність використання таких теплообмінників-колекторів для вилучення природної теплоти ґрунту. Це забезпечує підвищення енергоефективності та екологічності функціонування спортивних будівель і споруд. Крім того, ці результати мають потенціал для удосконалення існуючих інженерних </w:t>
      </w:r>
      <w:proofErr w:type="spellStart"/>
      <w:r w:rsidRPr="006B7F10">
        <w:rPr>
          <w:sz w:val="20"/>
          <w:szCs w:val="20"/>
          <w:lang w:val="uk-UA"/>
        </w:rPr>
        <w:t>методик</w:t>
      </w:r>
      <w:proofErr w:type="spellEnd"/>
      <w:r w:rsidRPr="006B7F10">
        <w:rPr>
          <w:sz w:val="20"/>
          <w:szCs w:val="20"/>
          <w:lang w:val="uk-UA"/>
        </w:rPr>
        <w:t xml:space="preserve"> розрахунку подібних систем, що може бути використано для оптимізації конструктивних елементів колекторів як на етапі </w:t>
      </w:r>
      <w:proofErr w:type="spellStart"/>
      <w:r w:rsidRPr="006B7F10">
        <w:rPr>
          <w:sz w:val="20"/>
          <w:szCs w:val="20"/>
          <w:lang w:val="uk-UA"/>
        </w:rPr>
        <w:t>проєктування</w:t>
      </w:r>
      <w:proofErr w:type="spellEnd"/>
      <w:r w:rsidRPr="006B7F10">
        <w:rPr>
          <w:sz w:val="20"/>
          <w:szCs w:val="20"/>
          <w:lang w:val="uk-UA"/>
        </w:rPr>
        <w:t>, так і в умовах реальної експлуатації.</w:t>
      </w:r>
    </w:p>
    <w:p w14:paraId="5AD7A978" w14:textId="77777777" w:rsidR="007F2DAC" w:rsidRPr="00B77470" w:rsidRDefault="007F2DAC" w:rsidP="007F2DAC">
      <w:pPr>
        <w:jc w:val="both"/>
        <w:rPr>
          <w:sz w:val="20"/>
          <w:szCs w:val="20"/>
          <w:lang w:val="uk-UA"/>
        </w:rPr>
      </w:pPr>
    </w:p>
    <w:p w14:paraId="73241A1A" w14:textId="30486ABC" w:rsidR="006B7F10" w:rsidRPr="00A33B3B" w:rsidRDefault="00184816" w:rsidP="00D02F31">
      <w:pPr>
        <w:pStyle w:val="a9"/>
        <w:numPr>
          <w:ilvl w:val="0"/>
          <w:numId w:val="8"/>
        </w:numPr>
        <w:ind w:left="0" w:firstLine="567"/>
        <w:jc w:val="both"/>
        <w:rPr>
          <w:rFonts w:ascii="Pragmatica" w:hAnsi="Pragmatica"/>
          <w:color w:val="002060"/>
          <w:sz w:val="20"/>
          <w:szCs w:val="20"/>
          <w:lang w:val="uk-UA"/>
        </w:rPr>
      </w:pPr>
      <w:proofErr w:type="spellStart"/>
      <w:r w:rsidRPr="00A33B3B">
        <w:rPr>
          <w:rFonts w:eastAsia="Calibri"/>
          <w:sz w:val="18"/>
          <w:szCs w:val="18"/>
          <w:lang w:val="uk-UA"/>
        </w:rPr>
        <w:t>Човнюк</w:t>
      </w:r>
      <w:proofErr w:type="spellEnd"/>
      <w:r w:rsidRPr="00A33B3B">
        <w:rPr>
          <w:rFonts w:eastAsia="Calibri"/>
          <w:sz w:val="18"/>
          <w:szCs w:val="18"/>
          <w:lang w:val="uk-UA"/>
        </w:rPr>
        <w:t xml:space="preserve"> Ю. В., </w:t>
      </w:r>
      <w:proofErr w:type="spellStart"/>
      <w:r w:rsidRPr="00A33B3B">
        <w:rPr>
          <w:rFonts w:eastAsia="Calibri"/>
          <w:sz w:val="18"/>
          <w:szCs w:val="18"/>
          <w:lang w:val="uk-UA"/>
        </w:rPr>
        <w:t>Чередніченко</w:t>
      </w:r>
      <w:proofErr w:type="spellEnd"/>
      <w:r w:rsidRPr="00A33B3B">
        <w:rPr>
          <w:rFonts w:eastAsia="Calibri"/>
          <w:sz w:val="18"/>
          <w:szCs w:val="18"/>
          <w:lang w:val="uk-UA"/>
        </w:rPr>
        <w:t xml:space="preserve"> П. П., </w:t>
      </w:r>
      <w:proofErr w:type="spellStart"/>
      <w:r w:rsidRPr="00A33B3B">
        <w:rPr>
          <w:rFonts w:eastAsia="Calibri"/>
          <w:sz w:val="18"/>
          <w:szCs w:val="18"/>
          <w:lang w:val="uk-UA"/>
        </w:rPr>
        <w:t>Москвітіна</w:t>
      </w:r>
      <w:proofErr w:type="spellEnd"/>
      <w:r w:rsidRPr="00A33B3B">
        <w:rPr>
          <w:rFonts w:eastAsia="Calibri"/>
          <w:sz w:val="18"/>
          <w:szCs w:val="18"/>
          <w:lang w:val="uk-UA"/>
        </w:rPr>
        <w:t xml:space="preserve"> А. С., </w:t>
      </w:r>
      <w:proofErr w:type="spellStart"/>
      <w:r w:rsidRPr="00A33B3B">
        <w:rPr>
          <w:rFonts w:eastAsia="Calibri"/>
          <w:sz w:val="18"/>
          <w:szCs w:val="18"/>
          <w:lang w:val="uk-UA"/>
        </w:rPr>
        <w:t>Пефтєва</w:t>
      </w:r>
      <w:proofErr w:type="spellEnd"/>
      <w:r w:rsidRPr="00A33B3B">
        <w:rPr>
          <w:rFonts w:eastAsia="Calibri"/>
          <w:sz w:val="18"/>
          <w:szCs w:val="18"/>
          <w:lang w:val="uk-UA"/>
        </w:rPr>
        <w:t xml:space="preserve"> І. О. Визначення оптимальних співвідношень розмірів ґрунтових акумуляторів теплоти, обмежених теплоізоляційними шарами. Містобудування та територіальне планування. 2022, 80, 446–462. DOI: 10.32347/2076-815X.2022.80.451-464</w:t>
      </w:r>
      <w:r w:rsidR="00A33B3B" w:rsidRPr="00A33B3B">
        <w:rPr>
          <w:rFonts w:eastAsia="Calibri"/>
          <w:sz w:val="18"/>
          <w:szCs w:val="18"/>
          <w:lang w:val="uk-UA"/>
        </w:rPr>
        <w:t xml:space="preserve"> 2.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Yurii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Chovniuk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,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Anna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Moskvitina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,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Serhii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Rybachov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,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Petro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Zinych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.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Nonisothermal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flow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of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nanofluid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in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ground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heat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accumulator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for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decentralized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heat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supply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of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rural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facilities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for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various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purposes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.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Engineering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for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Rural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Development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 xml:space="preserve">. </w:t>
      </w:r>
      <w:proofErr w:type="spellStart"/>
      <w:r w:rsidR="006A25B4" w:rsidRPr="00A33B3B">
        <w:rPr>
          <w:rFonts w:eastAsia="Calibri"/>
          <w:sz w:val="18"/>
          <w:szCs w:val="18"/>
          <w:lang w:val="uk-UA"/>
        </w:rPr>
        <w:t>Jelgava</w:t>
      </w:r>
      <w:proofErr w:type="spellEnd"/>
      <w:r w:rsidR="006A25B4" w:rsidRPr="00A33B3B">
        <w:rPr>
          <w:rFonts w:eastAsia="Calibri"/>
          <w:sz w:val="18"/>
          <w:szCs w:val="18"/>
          <w:lang w:val="uk-UA"/>
        </w:rPr>
        <w:t>, LATVIA. Vol.23. P.623-629 DOI: 10.22616/ERDev.2024.23.TF 116</w:t>
      </w:r>
      <w:r w:rsidR="00A33B3B" w:rsidRPr="00A33B3B">
        <w:rPr>
          <w:rFonts w:eastAsia="Calibri"/>
          <w:sz w:val="18"/>
          <w:szCs w:val="18"/>
          <w:lang w:val="uk-UA"/>
        </w:rPr>
        <w:t xml:space="preserve"> 3.</w:t>
      </w:r>
      <w:r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A33B3B">
        <w:rPr>
          <w:rFonts w:eastAsia="Calibri"/>
          <w:sz w:val="18"/>
          <w:szCs w:val="18"/>
          <w:lang w:val="uk-UA"/>
        </w:rPr>
        <w:t>Накорчевський</w:t>
      </w:r>
      <w:proofErr w:type="spellEnd"/>
      <w:r w:rsidRPr="00A33B3B">
        <w:rPr>
          <w:rFonts w:eastAsia="Calibri"/>
          <w:sz w:val="18"/>
          <w:szCs w:val="18"/>
          <w:lang w:val="uk-UA"/>
        </w:rPr>
        <w:t xml:space="preserve"> А. І. Ґрунтові акумулятори теплоти і модернізація комунальної теплоенергетики. Київ : Наукова думка, 2010. 256 с. </w:t>
      </w:r>
      <w:r w:rsidR="00A33B3B" w:rsidRPr="00A33B3B">
        <w:rPr>
          <w:rFonts w:eastAsia="Calibri"/>
          <w:sz w:val="18"/>
          <w:szCs w:val="18"/>
          <w:lang w:val="uk-UA"/>
        </w:rPr>
        <w:t xml:space="preserve">4. </w:t>
      </w:r>
      <w:proofErr w:type="spellStart"/>
      <w:r w:rsidRPr="00A33B3B">
        <w:rPr>
          <w:rFonts w:eastAsia="Calibri"/>
          <w:sz w:val="18"/>
          <w:szCs w:val="18"/>
          <w:lang w:val="uk-UA"/>
        </w:rPr>
        <w:t>Накорчевський</w:t>
      </w:r>
      <w:proofErr w:type="spellEnd"/>
      <w:r w:rsidRPr="00A33B3B">
        <w:rPr>
          <w:rFonts w:eastAsia="Calibri"/>
          <w:sz w:val="18"/>
          <w:szCs w:val="18"/>
          <w:lang w:val="uk-UA"/>
        </w:rPr>
        <w:t xml:space="preserve"> А. І., Басок Б. І. Оптимальна конструкція ґрунтових теплообмінників.  Промислова теплотехніка.  2005, Т. 27, № 6, 27–31. </w:t>
      </w:r>
      <w:r w:rsidR="00A33B3B" w:rsidRPr="00A33B3B">
        <w:rPr>
          <w:rFonts w:eastAsia="Calibri"/>
          <w:sz w:val="18"/>
          <w:szCs w:val="18"/>
          <w:lang w:val="uk-UA"/>
        </w:rPr>
        <w:t>5.</w:t>
      </w:r>
      <w:r w:rsidR="006B7F10" w:rsidRPr="00A33B3B">
        <w:rPr>
          <w:rFonts w:eastAsia="Calibri"/>
          <w:sz w:val="18"/>
          <w:szCs w:val="18"/>
          <w:lang w:val="uk-UA"/>
        </w:rPr>
        <w:t xml:space="preserve">Atkinson K. E.,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Han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W.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Theoretical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Numerical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Analysis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: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An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Introduction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to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Advanc</w:t>
      </w:r>
      <w:r w:rsidRPr="00A33B3B">
        <w:rPr>
          <w:rFonts w:eastAsia="Calibri"/>
          <w:sz w:val="18"/>
          <w:szCs w:val="18"/>
          <w:lang w:val="uk-UA"/>
        </w:rPr>
        <w:t>ed</w:t>
      </w:r>
      <w:proofErr w:type="spellEnd"/>
      <w:r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A33B3B">
        <w:rPr>
          <w:rFonts w:eastAsia="Calibri"/>
          <w:sz w:val="18"/>
          <w:szCs w:val="18"/>
          <w:lang w:val="uk-UA"/>
        </w:rPr>
        <w:t>Techniques</w:t>
      </w:r>
      <w:proofErr w:type="spellEnd"/>
      <w:r w:rsidRPr="00A33B3B">
        <w:rPr>
          <w:rFonts w:eastAsia="Calibri"/>
          <w:sz w:val="18"/>
          <w:szCs w:val="18"/>
          <w:lang w:val="uk-UA"/>
        </w:rPr>
        <w:t xml:space="preserve">. — </w:t>
      </w:r>
      <w:proofErr w:type="spellStart"/>
      <w:r w:rsidRPr="00A33B3B">
        <w:rPr>
          <w:rFonts w:eastAsia="Calibri"/>
          <w:sz w:val="18"/>
          <w:szCs w:val="18"/>
          <w:lang w:val="uk-UA"/>
        </w:rPr>
        <w:t>Springer</w:t>
      </w:r>
      <w:proofErr w:type="spellEnd"/>
      <w:r w:rsidRPr="00A33B3B">
        <w:rPr>
          <w:rFonts w:eastAsia="Calibri"/>
          <w:sz w:val="18"/>
          <w:szCs w:val="18"/>
          <w:lang w:val="uk-UA"/>
        </w:rPr>
        <w:t>, 2009</w:t>
      </w:r>
      <w:r w:rsidR="006B7F10" w:rsidRPr="00A33B3B">
        <w:rPr>
          <w:rFonts w:eastAsia="Calibri"/>
          <w:sz w:val="18"/>
          <w:szCs w:val="18"/>
          <w:lang w:val="uk-UA"/>
        </w:rPr>
        <w:t>.</w:t>
      </w:r>
      <w:r w:rsidR="00A33B3B" w:rsidRPr="00A33B3B">
        <w:rPr>
          <w:rFonts w:eastAsia="Calibri"/>
          <w:sz w:val="18"/>
          <w:szCs w:val="18"/>
          <w:lang w:val="uk-UA"/>
        </w:rPr>
        <w:t xml:space="preserve"> 6.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Bronshtein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I. N.,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Semendyayev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K. A.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Handbook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of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Mathematics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. —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Springer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>, 2015. — 974 p. — ISBN 978-3-662-46220-1.</w:t>
      </w:r>
      <w:r w:rsidR="00A33B3B" w:rsidRPr="00A33B3B">
        <w:rPr>
          <w:rFonts w:eastAsia="Calibri"/>
          <w:sz w:val="18"/>
          <w:szCs w:val="18"/>
          <w:lang w:val="uk-UA"/>
        </w:rPr>
        <w:t xml:space="preserve"> 7.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Richtmyer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R. D.,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Morton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K. W.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Difference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Methods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for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Initial-Value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Problems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. —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Dover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Publications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>, 2017. — (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Dover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Books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on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Mathematics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>).</w:t>
      </w:r>
      <w:r w:rsidR="00A33B3B" w:rsidRPr="00A33B3B">
        <w:rPr>
          <w:rFonts w:eastAsia="Calibri"/>
          <w:sz w:val="18"/>
          <w:szCs w:val="18"/>
          <w:lang w:val="uk-UA"/>
        </w:rPr>
        <w:t xml:space="preserve"> 8.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Tu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J.,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Yeoh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G. H.,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Liu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C.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Computational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Fluid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Dynamics: A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Practical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Approach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. — 3rd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ed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 xml:space="preserve">. — </w:t>
      </w:r>
      <w:proofErr w:type="spellStart"/>
      <w:r w:rsidR="006B7F10" w:rsidRPr="00A33B3B">
        <w:rPr>
          <w:rFonts w:eastAsia="Calibri"/>
          <w:sz w:val="18"/>
          <w:szCs w:val="18"/>
          <w:lang w:val="uk-UA"/>
        </w:rPr>
        <w:t>Butterworth-Heinemann</w:t>
      </w:r>
      <w:proofErr w:type="spellEnd"/>
      <w:r w:rsidR="006B7F10" w:rsidRPr="00A33B3B">
        <w:rPr>
          <w:rFonts w:eastAsia="Calibri"/>
          <w:sz w:val="18"/>
          <w:szCs w:val="18"/>
          <w:lang w:val="uk-UA"/>
        </w:rPr>
        <w:t>, 2018. — 676 p. — ISBN 978-0-08-101127-7.</w:t>
      </w:r>
      <w:r w:rsidR="006B7F10" w:rsidRPr="00A33B3B">
        <w:rPr>
          <w:rFonts w:ascii="Pragmatica" w:hAnsi="Pragmatica"/>
          <w:color w:val="002060"/>
          <w:sz w:val="20"/>
          <w:szCs w:val="20"/>
          <w:lang w:val="uk-UA"/>
        </w:rPr>
        <w:cr/>
      </w:r>
    </w:p>
    <w:sectPr w:rsidR="006B7F10" w:rsidRPr="00A33B3B" w:rsidSect="007F2DAC">
      <w:headerReference w:type="default" r:id="rId8"/>
      <w:pgSz w:w="8392" w:h="11907" w:code="11"/>
      <w:pgMar w:top="96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C6C18" w14:textId="77777777" w:rsidR="00BD41EB" w:rsidRDefault="00BD41EB" w:rsidP="00706F17">
      <w:r>
        <w:separator/>
      </w:r>
    </w:p>
  </w:endnote>
  <w:endnote w:type="continuationSeparator" w:id="0">
    <w:p w14:paraId="21CEF632" w14:textId="77777777" w:rsidR="00BD41EB" w:rsidRDefault="00BD41EB" w:rsidP="0070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Calibri"/>
    <w:charset w:val="CC"/>
    <w:family w:val="swiss"/>
    <w:pitch w:val="variable"/>
    <w:sig w:usb0="800002FF" w:usb1="5000604A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25B34" w14:textId="77777777" w:rsidR="00BD41EB" w:rsidRDefault="00BD41EB" w:rsidP="00706F17">
      <w:r>
        <w:separator/>
      </w:r>
    </w:p>
  </w:footnote>
  <w:footnote w:type="continuationSeparator" w:id="0">
    <w:p w14:paraId="74360F49" w14:textId="77777777" w:rsidR="00BD41EB" w:rsidRDefault="00BD41EB" w:rsidP="0070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0EC2A" w14:textId="77777777" w:rsidR="007F2DAC" w:rsidRDefault="007F2DAC" w:rsidP="007F2DA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1BE"/>
    <w:multiLevelType w:val="hybridMultilevel"/>
    <w:tmpl w:val="DE82A026"/>
    <w:lvl w:ilvl="0" w:tplc="A900D71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AFE"/>
    <w:multiLevelType w:val="multilevel"/>
    <w:tmpl w:val="CC1A8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115FE"/>
    <w:multiLevelType w:val="hybridMultilevel"/>
    <w:tmpl w:val="FADE9ADC"/>
    <w:lvl w:ilvl="0" w:tplc="35B0267E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C5E3510"/>
    <w:multiLevelType w:val="hybridMultilevel"/>
    <w:tmpl w:val="41B05D10"/>
    <w:lvl w:ilvl="0" w:tplc="C6CE521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BD29A0"/>
    <w:multiLevelType w:val="hybridMultilevel"/>
    <w:tmpl w:val="9118DCFC"/>
    <w:lvl w:ilvl="0" w:tplc="76342F0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C581F"/>
    <w:multiLevelType w:val="hybridMultilevel"/>
    <w:tmpl w:val="D280FFC8"/>
    <w:lvl w:ilvl="0" w:tplc="EFC2724C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7059494B"/>
    <w:multiLevelType w:val="hybridMultilevel"/>
    <w:tmpl w:val="8846826C"/>
    <w:lvl w:ilvl="0" w:tplc="807CA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A1"/>
    <w:multiLevelType w:val="hybridMultilevel"/>
    <w:tmpl w:val="506CB36A"/>
    <w:lvl w:ilvl="0" w:tplc="0419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5d3ff,#e1e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06"/>
    <w:rsid w:val="0000158E"/>
    <w:rsid w:val="00001F44"/>
    <w:rsid w:val="0001386B"/>
    <w:rsid w:val="000A1A8E"/>
    <w:rsid w:val="000A35E9"/>
    <w:rsid w:val="000A452E"/>
    <w:rsid w:val="000B00D1"/>
    <w:rsid w:val="000D7DDD"/>
    <w:rsid w:val="000D7E72"/>
    <w:rsid w:val="000E5495"/>
    <w:rsid w:val="000E629E"/>
    <w:rsid w:val="000F3034"/>
    <w:rsid w:val="00100CFB"/>
    <w:rsid w:val="001029C6"/>
    <w:rsid w:val="00102E90"/>
    <w:rsid w:val="0011298D"/>
    <w:rsid w:val="00120B84"/>
    <w:rsid w:val="001253D6"/>
    <w:rsid w:val="001518F8"/>
    <w:rsid w:val="001625BE"/>
    <w:rsid w:val="0016607D"/>
    <w:rsid w:val="00172025"/>
    <w:rsid w:val="00183BF4"/>
    <w:rsid w:val="00184816"/>
    <w:rsid w:val="00187353"/>
    <w:rsid w:val="001A0CBA"/>
    <w:rsid w:val="001A6C87"/>
    <w:rsid w:val="001D300E"/>
    <w:rsid w:val="001E535E"/>
    <w:rsid w:val="00201512"/>
    <w:rsid w:val="002035D0"/>
    <w:rsid w:val="002039EC"/>
    <w:rsid w:val="002569D9"/>
    <w:rsid w:val="002602D3"/>
    <w:rsid w:val="00263C82"/>
    <w:rsid w:val="00275C02"/>
    <w:rsid w:val="00285662"/>
    <w:rsid w:val="00285894"/>
    <w:rsid w:val="00285CEB"/>
    <w:rsid w:val="002B05D7"/>
    <w:rsid w:val="002C555E"/>
    <w:rsid w:val="002E43A9"/>
    <w:rsid w:val="003025E8"/>
    <w:rsid w:val="003267BC"/>
    <w:rsid w:val="00334902"/>
    <w:rsid w:val="00355239"/>
    <w:rsid w:val="0035653B"/>
    <w:rsid w:val="00363C2B"/>
    <w:rsid w:val="003740DF"/>
    <w:rsid w:val="00374E07"/>
    <w:rsid w:val="00385919"/>
    <w:rsid w:val="003A6E12"/>
    <w:rsid w:val="003A7D57"/>
    <w:rsid w:val="003C0376"/>
    <w:rsid w:val="003C16D9"/>
    <w:rsid w:val="003C2973"/>
    <w:rsid w:val="003C6836"/>
    <w:rsid w:val="003F7E66"/>
    <w:rsid w:val="004229FA"/>
    <w:rsid w:val="00425A36"/>
    <w:rsid w:val="004338F5"/>
    <w:rsid w:val="0045314F"/>
    <w:rsid w:val="00480E0F"/>
    <w:rsid w:val="004C292B"/>
    <w:rsid w:val="004D6EDC"/>
    <w:rsid w:val="004F52EE"/>
    <w:rsid w:val="00515836"/>
    <w:rsid w:val="00521329"/>
    <w:rsid w:val="00536007"/>
    <w:rsid w:val="00545312"/>
    <w:rsid w:val="00563772"/>
    <w:rsid w:val="0058262F"/>
    <w:rsid w:val="005849A9"/>
    <w:rsid w:val="005870E0"/>
    <w:rsid w:val="005B5FC2"/>
    <w:rsid w:val="005D5EAD"/>
    <w:rsid w:val="006021F9"/>
    <w:rsid w:val="00624C5F"/>
    <w:rsid w:val="00643207"/>
    <w:rsid w:val="00647706"/>
    <w:rsid w:val="00654286"/>
    <w:rsid w:val="006577CF"/>
    <w:rsid w:val="006753B4"/>
    <w:rsid w:val="006917F8"/>
    <w:rsid w:val="006A25B4"/>
    <w:rsid w:val="006B7F10"/>
    <w:rsid w:val="006F45A6"/>
    <w:rsid w:val="00704122"/>
    <w:rsid w:val="00706F17"/>
    <w:rsid w:val="007343A3"/>
    <w:rsid w:val="007421CB"/>
    <w:rsid w:val="007443CC"/>
    <w:rsid w:val="007469F9"/>
    <w:rsid w:val="007534A2"/>
    <w:rsid w:val="00764BB0"/>
    <w:rsid w:val="007769BA"/>
    <w:rsid w:val="007A0D26"/>
    <w:rsid w:val="007A7E08"/>
    <w:rsid w:val="007D367A"/>
    <w:rsid w:val="007D4706"/>
    <w:rsid w:val="007F2DAC"/>
    <w:rsid w:val="00843A9F"/>
    <w:rsid w:val="008532C3"/>
    <w:rsid w:val="008557CF"/>
    <w:rsid w:val="00871415"/>
    <w:rsid w:val="00877D8F"/>
    <w:rsid w:val="00881082"/>
    <w:rsid w:val="008846DD"/>
    <w:rsid w:val="008910B5"/>
    <w:rsid w:val="008A5EA6"/>
    <w:rsid w:val="008A7D8B"/>
    <w:rsid w:val="008D586E"/>
    <w:rsid w:val="008F2F1E"/>
    <w:rsid w:val="008F6B20"/>
    <w:rsid w:val="00902FFA"/>
    <w:rsid w:val="009064C3"/>
    <w:rsid w:val="00910C5C"/>
    <w:rsid w:val="00920006"/>
    <w:rsid w:val="0092081E"/>
    <w:rsid w:val="00922568"/>
    <w:rsid w:val="00950B0E"/>
    <w:rsid w:val="00954F38"/>
    <w:rsid w:val="0098400F"/>
    <w:rsid w:val="009E5F2B"/>
    <w:rsid w:val="009F5679"/>
    <w:rsid w:val="00A02C06"/>
    <w:rsid w:val="00A05D06"/>
    <w:rsid w:val="00A1381D"/>
    <w:rsid w:val="00A16F8B"/>
    <w:rsid w:val="00A33B3B"/>
    <w:rsid w:val="00A650FD"/>
    <w:rsid w:val="00A973E6"/>
    <w:rsid w:val="00AA5A33"/>
    <w:rsid w:val="00AA7535"/>
    <w:rsid w:val="00AB6D2A"/>
    <w:rsid w:val="00AB78A7"/>
    <w:rsid w:val="00AC2427"/>
    <w:rsid w:val="00AC6E6B"/>
    <w:rsid w:val="00AF3A67"/>
    <w:rsid w:val="00B1400E"/>
    <w:rsid w:val="00B20297"/>
    <w:rsid w:val="00B315DE"/>
    <w:rsid w:val="00B32CBC"/>
    <w:rsid w:val="00B4116A"/>
    <w:rsid w:val="00B46586"/>
    <w:rsid w:val="00B62BEA"/>
    <w:rsid w:val="00B7012E"/>
    <w:rsid w:val="00B771AA"/>
    <w:rsid w:val="00B77470"/>
    <w:rsid w:val="00B867E9"/>
    <w:rsid w:val="00B87BDB"/>
    <w:rsid w:val="00BB2FEE"/>
    <w:rsid w:val="00BD41EB"/>
    <w:rsid w:val="00C07166"/>
    <w:rsid w:val="00C34A6C"/>
    <w:rsid w:val="00C5661C"/>
    <w:rsid w:val="00C63F11"/>
    <w:rsid w:val="00C91D12"/>
    <w:rsid w:val="00CC54C8"/>
    <w:rsid w:val="00D00F7D"/>
    <w:rsid w:val="00D10209"/>
    <w:rsid w:val="00D10C30"/>
    <w:rsid w:val="00D162BD"/>
    <w:rsid w:val="00D31B8F"/>
    <w:rsid w:val="00D6100E"/>
    <w:rsid w:val="00D658AD"/>
    <w:rsid w:val="00D708F6"/>
    <w:rsid w:val="00D863C8"/>
    <w:rsid w:val="00D90F4F"/>
    <w:rsid w:val="00DB44D6"/>
    <w:rsid w:val="00DB6122"/>
    <w:rsid w:val="00DB73C6"/>
    <w:rsid w:val="00DD07FC"/>
    <w:rsid w:val="00DE1BDA"/>
    <w:rsid w:val="00DE7245"/>
    <w:rsid w:val="00E152C4"/>
    <w:rsid w:val="00E510DF"/>
    <w:rsid w:val="00E51C31"/>
    <w:rsid w:val="00E57949"/>
    <w:rsid w:val="00E606B5"/>
    <w:rsid w:val="00E610CD"/>
    <w:rsid w:val="00E73BE7"/>
    <w:rsid w:val="00E86CB2"/>
    <w:rsid w:val="00E90C92"/>
    <w:rsid w:val="00E9379E"/>
    <w:rsid w:val="00EA69A4"/>
    <w:rsid w:val="00EB4E5C"/>
    <w:rsid w:val="00EC5F8C"/>
    <w:rsid w:val="00EC687E"/>
    <w:rsid w:val="00ED742F"/>
    <w:rsid w:val="00F06753"/>
    <w:rsid w:val="00F15BDC"/>
    <w:rsid w:val="00F70D96"/>
    <w:rsid w:val="00F74498"/>
    <w:rsid w:val="00FA00AF"/>
    <w:rsid w:val="00FA4989"/>
    <w:rsid w:val="00FA5E94"/>
    <w:rsid w:val="00FB6C28"/>
    <w:rsid w:val="00FC7709"/>
    <w:rsid w:val="00F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5d3ff,#e1e8ff"/>
    </o:shapedefaults>
    <o:shapelayout v:ext="edit">
      <o:idmap v:ext="edit" data="1"/>
    </o:shapelayout>
  </w:shapeDefaults>
  <w:decimalSymbol w:val=","/>
  <w:listSeparator w:val=";"/>
  <w14:docId w14:val="24F2E9A5"/>
  <w15:chartTrackingRefBased/>
  <w15:docId w15:val="{C6AC8EF5-F69F-4073-ACB2-A2512554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00E"/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6477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706"/>
    <w:rPr>
      <w:rFonts w:ascii="Cambria" w:eastAsia="Times New Roman" w:hAnsi="Cambria" w:cs="Times New Roman"/>
      <w:b/>
      <w:bCs/>
      <w:i/>
      <w:iCs/>
      <w:szCs w:val="28"/>
      <w:lang w:val="ru-RU" w:eastAsia="ru-RU"/>
    </w:rPr>
  </w:style>
  <w:style w:type="character" w:styleId="a3">
    <w:name w:val="Hyperlink"/>
    <w:rsid w:val="00647706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85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zfr3q">
    <w:name w:val="zfr3q"/>
    <w:basedOn w:val="a"/>
    <w:rsid w:val="00385919"/>
    <w:pPr>
      <w:spacing w:before="100" w:beforeAutospacing="1" w:after="100" w:afterAutospacing="1"/>
    </w:pPr>
  </w:style>
  <w:style w:type="character" w:customStyle="1" w:styleId="1">
    <w:name w:val="Незакрита згадка1"/>
    <w:basedOn w:val="a0"/>
    <w:uiPriority w:val="99"/>
    <w:semiHidden/>
    <w:unhideWhenUsed/>
    <w:rsid w:val="008532C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D708F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43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cdt4ke">
    <w:name w:val="cdt4ke"/>
    <w:basedOn w:val="a"/>
    <w:rsid w:val="007443C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6A2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DE0BC-5E7D-494A-BDB3-56D1B880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</dc:creator>
  <cp:keywords/>
  <dc:description/>
  <cp:lastModifiedBy>UserOk</cp:lastModifiedBy>
  <cp:revision>2</cp:revision>
  <cp:lastPrinted>2021-03-31T11:01:00Z</cp:lastPrinted>
  <dcterms:created xsi:type="dcterms:W3CDTF">2025-11-18T12:05:00Z</dcterms:created>
  <dcterms:modified xsi:type="dcterms:W3CDTF">2025-11-18T12:05:00Z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6007933c26a2b5a0f48a19706c37f52cb0505c9ad850dc241c8dd2aae61a0f98</vt:lpwstr>
  </property>
</Properties>
</file>