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D2576E" w14:textId="77777777" w:rsidR="00806CE2" w:rsidRPr="00DF02C1" w:rsidRDefault="00806CE2" w:rsidP="00806CE2">
      <w:pPr>
        <w:rPr>
          <w:b/>
          <w:sz w:val="20"/>
          <w:szCs w:val="20"/>
          <w:lang w:val="uk-UA"/>
        </w:rPr>
      </w:pPr>
      <w:r w:rsidRPr="00DF02C1">
        <w:rPr>
          <w:b/>
          <w:sz w:val="20"/>
          <w:szCs w:val="20"/>
          <w:lang w:val="uk-UA"/>
        </w:rPr>
        <w:t>УДК 628.2</w:t>
      </w:r>
    </w:p>
    <w:p w14:paraId="3670BF6C" w14:textId="77777777" w:rsidR="00806CE2" w:rsidRPr="00DF02C1" w:rsidRDefault="00806CE2" w:rsidP="00806CE2">
      <w:pPr>
        <w:tabs>
          <w:tab w:val="left" w:pos="0"/>
        </w:tabs>
        <w:jc w:val="center"/>
        <w:rPr>
          <w:b/>
          <w:sz w:val="20"/>
          <w:szCs w:val="20"/>
          <w:lang w:val="uk-UA"/>
        </w:rPr>
      </w:pPr>
    </w:p>
    <w:p w14:paraId="1E6C6F5F" w14:textId="77777777" w:rsidR="00806CE2" w:rsidRPr="00DF02C1" w:rsidRDefault="00806CE2" w:rsidP="00806CE2">
      <w:pPr>
        <w:tabs>
          <w:tab w:val="left" w:pos="0"/>
        </w:tabs>
        <w:jc w:val="center"/>
        <w:rPr>
          <w:b/>
          <w:sz w:val="20"/>
          <w:szCs w:val="20"/>
          <w:lang w:val="uk-UA"/>
        </w:rPr>
      </w:pPr>
      <w:r w:rsidRPr="00DF02C1">
        <w:rPr>
          <w:b/>
          <w:sz w:val="20"/>
          <w:szCs w:val="20"/>
          <w:lang w:val="uk-UA"/>
        </w:rPr>
        <w:t>Обґрунтування траси каналізації на основі геодезичних вишукувань</w:t>
      </w:r>
    </w:p>
    <w:p w14:paraId="40F960E2" w14:textId="77777777" w:rsidR="00806CE2" w:rsidRPr="00DF02C1" w:rsidRDefault="00806CE2" w:rsidP="00806CE2">
      <w:pPr>
        <w:tabs>
          <w:tab w:val="left" w:pos="567"/>
        </w:tabs>
        <w:jc w:val="center"/>
        <w:rPr>
          <w:b/>
          <w:caps/>
          <w:sz w:val="20"/>
          <w:szCs w:val="20"/>
          <w:lang w:val="uk-UA"/>
        </w:rPr>
      </w:pPr>
    </w:p>
    <w:p w14:paraId="3A06A1FB" w14:textId="77777777" w:rsidR="00806CE2" w:rsidRPr="00DF02C1" w:rsidRDefault="00806CE2" w:rsidP="00806CE2">
      <w:pPr>
        <w:tabs>
          <w:tab w:val="left" w:pos="0"/>
        </w:tabs>
        <w:jc w:val="center"/>
        <w:rPr>
          <w:b/>
          <w:sz w:val="20"/>
          <w:szCs w:val="20"/>
          <w:lang w:val="en-US"/>
        </w:rPr>
      </w:pPr>
      <w:r w:rsidRPr="00DF02C1">
        <w:rPr>
          <w:b/>
          <w:sz w:val="20"/>
          <w:szCs w:val="20"/>
          <w:lang w:val="en-US"/>
        </w:rPr>
        <w:t>Justification of the sewer route based on geodetic surveys</w:t>
      </w:r>
    </w:p>
    <w:p w14:paraId="2B80F8E5" w14:textId="77777777" w:rsidR="00806CE2" w:rsidRPr="00DF02C1" w:rsidRDefault="00806CE2" w:rsidP="00806CE2">
      <w:pPr>
        <w:ind w:firstLine="567"/>
        <w:jc w:val="both"/>
        <w:rPr>
          <w:rFonts w:eastAsia="Calibri"/>
          <w:sz w:val="20"/>
          <w:szCs w:val="20"/>
          <w:lang w:val="en-US"/>
        </w:rPr>
      </w:pPr>
    </w:p>
    <w:p w14:paraId="0DD93373" w14:textId="31751B62" w:rsidR="00806CE2" w:rsidRPr="00DF02C1" w:rsidRDefault="00806CE2" w:rsidP="00806CE2">
      <w:pPr>
        <w:tabs>
          <w:tab w:val="left" w:pos="0"/>
        </w:tabs>
        <w:ind w:firstLine="567"/>
        <w:jc w:val="both"/>
        <w:rPr>
          <w:b/>
          <w:sz w:val="20"/>
          <w:szCs w:val="20"/>
          <w:lang w:val="uk-UA"/>
        </w:rPr>
      </w:pPr>
      <w:r w:rsidRPr="00DF02C1">
        <w:rPr>
          <w:b/>
          <w:sz w:val="20"/>
          <w:szCs w:val="20"/>
          <w:lang w:val="uk-UA"/>
        </w:rPr>
        <w:t xml:space="preserve">С. В. Синій, к.т.н., доцент, О. В. Верешко, к.т.н., доцент (Луцький національний технічний університет, Луцьк), О. В. Мельник, к.т.н., доцент (Волинський національний університет імені Лесі Українки, Луцьк), </w:t>
      </w:r>
      <w:r w:rsidR="00124F01" w:rsidRPr="00DF02C1">
        <w:rPr>
          <w:b/>
          <w:sz w:val="20"/>
          <w:szCs w:val="20"/>
          <w:lang w:val="uk-UA"/>
        </w:rPr>
        <w:t xml:space="preserve">А. В. Корець, </w:t>
      </w:r>
      <w:r w:rsidRPr="00DF02C1">
        <w:rPr>
          <w:b/>
          <w:sz w:val="20"/>
          <w:szCs w:val="20"/>
          <w:lang w:val="uk-UA"/>
        </w:rPr>
        <w:t>студент</w:t>
      </w:r>
      <w:r w:rsidR="00124F01" w:rsidRPr="00DF02C1">
        <w:rPr>
          <w:b/>
          <w:sz w:val="20"/>
          <w:szCs w:val="20"/>
          <w:lang w:val="uk-UA"/>
        </w:rPr>
        <w:t>ка</w:t>
      </w:r>
      <w:r w:rsidRPr="00DF02C1">
        <w:rPr>
          <w:b/>
          <w:sz w:val="20"/>
          <w:szCs w:val="20"/>
          <w:lang w:val="uk-UA"/>
        </w:rPr>
        <w:t xml:space="preserve">, </w:t>
      </w:r>
      <w:r w:rsidR="000D2A46" w:rsidRPr="00DF02C1">
        <w:rPr>
          <w:b/>
          <w:sz w:val="20"/>
          <w:szCs w:val="20"/>
          <w:lang w:val="uk-UA"/>
        </w:rPr>
        <w:t>І</w:t>
      </w:r>
      <w:r w:rsidRPr="00DF02C1">
        <w:rPr>
          <w:b/>
          <w:sz w:val="20"/>
          <w:szCs w:val="20"/>
          <w:lang w:val="uk-UA"/>
        </w:rPr>
        <w:t xml:space="preserve">. </w:t>
      </w:r>
      <w:r w:rsidR="000D2A46" w:rsidRPr="00DF02C1">
        <w:rPr>
          <w:b/>
          <w:sz w:val="20"/>
          <w:szCs w:val="20"/>
          <w:lang w:val="uk-UA"/>
        </w:rPr>
        <w:t>А</w:t>
      </w:r>
      <w:r w:rsidRPr="00DF02C1">
        <w:rPr>
          <w:b/>
          <w:sz w:val="20"/>
          <w:szCs w:val="20"/>
          <w:lang w:val="uk-UA"/>
        </w:rPr>
        <w:t xml:space="preserve">. </w:t>
      </w:r>
      <w:r w:rsidR="000D2A46" w:rsidRPr="00DF02C1">
        <w:rPr>
          <w:b/>
          <w:sz w:val="20"/>
          <w:szCs w:val="20"/>
          <w:lang w:val="uk-UA"/>
        </w:rPr>
        <w:t>Домбровська</w:t>
      </w:r>
      <w:r w:rsidRPr="00DF02C1">
        <w:rPr>
          <w:b/>
          <w:sz w:val="20"/>
          <w:szCs w:val="20"/>
          <w:lang w:val="uk-UA"/>
        </w:rPr>
        <w:t>, студент</w:t>
      </w:r>
      <w:r w:rsidR="00124F01" w:rsidRPr="00DF02C1">
        <w:rPr>
          <w:b/>
          <w:sz w:val="20"/>
          <w:szCs w:val="20"/>
          <w:lang w:val="uk-UA"/>
        </w:rPr>
        <w:t>ка</w:t>
      </w:r>
      <w:r w:rsidRPr="00DF02C1">
        <w:rPr>
          <w:b/>
          <w:sz w:val="20"/>
          <w:szCs w:val="20"/>
          <w:lang w:val="uk-UA"/>
        </w:rPr>
        <w:t xml:space="preserve">, </w:t>
      </w:r>
      <w:r w:rsidR="00124F01" w:rsidRPr="00DF02C1">
        <w:rPr>
          <w:b/>
          <w:sz w:val="20"/>
          <w:szCs w:val="20"/>
          <w:lang w:val="uk-UA"/>
        </w:rPr>
        <w:t xml:space="preserve">Д. А. Цицюк, </w:t>
      </w:r>
      <w:r w:rsidRPr="00DF02C1">
        <w:rPr>
          <w:b/>
          <w:sz w:val="20"/>
          <w:szCs w:val="20"/>
          <w:lang w:val="uk-UA"/>
        </w:rPr>
        <w:t>студент</w:t>
      </w:r>
      <w:r w:rsidR="00124F01" w:rsidRPr="00DF02C1">
        <w:rPr>
          <w:b/>
          <w:sz w:val="20"/>
          <w:szCs w:val="20"/>
          <w:lang w:val="uk-UA"/>
        </w:rPr>
        <w:t>ка</w:t>
      </w:r>
      <w:r w:rsidRPr="00DF02C1">
        <w:rPr>
          <w:b/>
          <w:sz w:val="20"/>
          <w:szCs w:val="20"/>
          <w:lang w:val="uk-UA"/>
        </w:rPr>
        <w:t xml:space="preserve"> (Луцький національний технічний університет, Луцьк)</w:t>
      </w:r>
    </w:p>
    <w:p w14:paraId="6097767A" w14:textId="77777777" w:rsidR="00806CE2" w:rsidRPr="00DF02C1" w:rsidRDefault="00806CE2" w:rsidP="00806CE2">
      <w:pPr>
        <w:tabs>
          <w:tab w:val="left" w:pos="0"/>
        </w:tabs>
        <w:ind w:firstLine="567"/>
        <w:jc w:val="both"/>
        <w:rPr>
          <w:b/>
          <w:sz w:val="20"/>
          <w:szCs w:val="20"/>
          <w:lang w:val="uk-UA"/>
        </w:rPr>
      </w:pPr>
    </w:p>
    <w:p w14:paraId="2DA90CE6" w14:textId="280FE336" w:rsidR="00806CE2" w:rsidRPr="00DF02C1" w:rsidRDefault="00806CE2" w:rsidP="00806CE2">
      <w:pPr>
        <w:tabs>
          <w:tab w:val="left" w:pos="0"/>
        </w:tabs>
        <w:ind w:firstLine="567"/>
        <w:jc w:val="both"/>
        <w:rPr>
          <w:b/>
          <w:sz w:val="20"/>
          <w:szCs w:val="20"/>
          <w:lang w:val="en-GB"/>
        </w:rPr>
      </w:pPr>
      <w:r w:rsidRPr="00DF02C1">
        <w:rPr>
          <w:b/>
          <w:sz w:val="20"/>
          <w:szCs w:val="20"/>
          <w:lang w:val="en-GB"/>
        </w:rPr>
        <w:t>S. V. Synii, Ph.D. in Engineering, Associate Professor</w:t>
      </w:r>
      <w:r w:rsidRPr="00DF02C1">
        <w:rPr>
          <w:b/>
          <w:sz w:val="20"/>
          <w:szCs w:val="20"/>
          <w:lang w:val="uk-UA"/>
        </w:rPr>
        <w:t>,</w:t>
      </w:r>
      <w:r w:rsidRPr="00DF02C1">
        <w:rPr>
          <w:b/>
          <w:sz w:val="20"/>
          <w:szCs w:val="20"/>
          <w:lang w:val="en-GB"/>
        </w:rPr>
        <w:t xml:space="preserve"> O</w:t>
      </w:r>
      <w:r w:rsidRPr="00DF02C1">
        <w:rPr>
          <w:b/>
          <w:sz w:val="20"/>
          <w:szCs w:val="20"/>
          <w:lang w:val="uk-UA"/>
        </w:rPr>
        <w:t>.</w:t>
      </w:r>
      <w:r w:rsidRPr="00DF02C1">
        <w:rPr>
          <w:b/>
          <w:sz w:val="20"/>
          <w:szCs w:val="20"/>
          <w:lang w:val="en-GB"/>
        </w:rPr>
        <w:t>V</w:t>
      </w:r>
      <w:r w:rsidRPr="00DF02C1">
        <w:rPr>
          <w:b/>
          <w:sz w:val="20"/>
          <w:szCs w:val="20"/>
          <w:lang w:val="uk-UA"/>
        </w:rPr>
        <w:t xml:space="preserve">. </w:t>
      </w:r>
      <w:r w:rsidRPr="00DF02C1">
        <w:rPr>
          <w:b/>
          <w:sz w:val="20"/>
          <w:szCs w:val="20"/>
          <w:lang w:val="en-GB"/>
        </w:rPr>
        <w:t>Vereshko</w:t>
      </w:r>
      <w:r w:rsidRPr="00DF02C1">
        <w:rPr>
          <w:b/>
          <w:sz w:val="20"/>
          <w:szCs w:val="20"/>
          <w:lang w:val="uk-UA"/>
        </w:rPr>
        <w:t>,</w:t>
      </w:r>
      <w:r w:rsidRPr="00DF02C1">
        <w:rPr>
          <w:b/>
          <w:sz w:val="20"/>
          <w:szCs w:val="20"/>
          <w:lang w:val="en-GB"/>
        </w:rPr>
        <w:t xml:space="preserve"> Ph.D. in Engineering, Associate Professor (Lutsk National Technical University, Lutsk), O. </w:t>
      </w:r>
      <w:r w:rsidRPr="00DF02C1">
        <w:rPr>
          <w:b/>
          <w:bCs/>
          <w:sz w:val="20"/>
          <w:szCs w:val="20"/>
          <w:lang w:val="en-GB"/>
        </w:rPr>
        <w:t xml:space="preserve">V. Melnyk, </w:t>
      </w:r>
      <w:r w:rsidRPr="00DF02C1">
        <w:rPr>
          <w:b/>
          <w:sz w:val="20"/>
          <w:szCs w:val="20"/>
          <w:lang w:val="en-GB"/>
        </w:rPr>
        <w:t xml:space="preserve">Ph.D. in Engineering, Associate Professor, (Lesya Ukrainka Volyn National University, Lutsk), </w:t>
      </w:r>
      <w:r w:rsidR="00124F01" w:rsidRPr="00DF02C1">
        <w:rPr>
          <w:b/>
          <w:sz w:val="20"/>
          <w:szCs w:val="20"/>
          <w:lang w:val="en-GB"/>
        </w:rPr>
        <w:t>A. V. </w:t>
      </w:r>
      <w:r w:rsidR="00124F01" w:rsidRPr="00DF02C1">
        <w:rPr>
          <w:b/>
          <w:sz w:val="20"/>
          <w:szCs w:val="20"/>
          <w:lang w:val="en-US"/>
        </w:rPr>
        <w:t>Korets</w:t>
      </w:r>
      <w:r w:rsidR="00124F01" w:rsidRPr="00DF02C1">
        <w:rPr>
          <w:b/>
          <w:sz w:val="20"/>
          <w:szCs w:val="20"/>
          <w:lang w:val="en-GB"/>
        </w:rPr>
        <w:t xml:space="preserve">, </w:t>
      </w:r>
      <w:r w:rsidRPr="00DF02C1">
        <w:rPr>
          <w:b/>
          <w:sz w:val="20"/>
          <w:szCs w:val="20"/>
          <w:lang w:val="en-GB"/>
        </w:rPr>
        <w:t xml:space="preserve">student, </w:t>
      </w:r>
      <w:r w:rsidR="000D2A46" w:rsidRPr="00DF02C1">
        <w:rPr>
          <w:b/>
          <w:sz w:val="20"/>
          <w:szCs w:val="20"/>
          <w:lang w:val="en-GB"/>
        </w:rPr>
        <w:t>I</w:t>
      </w:r>
      <w:r w:rsidRPr="00DF02C1">
        <w:rPr>
          <w:b/>
          <w:sz w:val="20"/>
          <w:szCs w:val="20"/>
          <w:lang w:val="en-GB"/>
        </w:rPr>
        <w:t>. </w:t>
      </w:r>
      <w:r w:rsidR="000D2A46" w:rsidRPr="00DF02C1">
        <w:rPr>
          <w:b/>
          <w:sz w:val="20"/>
          <w:szCs w:val="20"/>
          <w:lang w:val="en-GB"/>
        </w:rPr>
        <w:t>A</w:t>
      </w:r>
      <w:r w:rsidRPr="00DF02C1">
        <w:rPr>
          <w:b/>
          <w:sz w:val="20"/>
          <w:szCs w:val="20"/>
          <w:lang w:val="en-GB"/>
        </w:rPr>
        <w:t>. </w:t>
      </w:r>
      <w:r w:rsidR="000D2A46" w:rsidRPr="00DF02C1">
        <w:rPr>
          <w:b/>
          <w:sz w:val="20"/>
          <w:szCs w:val="20"/>
          <w:lang w:val="en-GB"/>
        </w:rPr>
        <w:t>Dombrovska</w:t>
      </w:r>
      <w:r w:rsidRPr="00DF02C1">
        <w:rPr>
          <w:b/>
          <w:sz w:val="20"/>
          <w:szCs w:val="20"/>
          <w:lang w:val="en-GB"/>
        </w:rPr>
        <w:t xml:space="preserve">, student, </w:t>
      </w:r>
      <w:r w:rsidR="00124F01" w:rsidRPr="00DF02C1">
        <w:rPr>
          <w:b/>
          <w:sz w:val="20"/>
          <w:szCs w:val="20"/>
          <w:lang w:val="en-GB"/>
        </w:rPr>
        <w:t xml:space="preserve">D. A. Tsytsiuk, </w:t>
      </w:r>
      <w:r w:rsidRPr="00DF02C1">
        <w:rPr>
          <w:b/>
          <w:sz w:val="20"/>
          <w:szCs w:val="20"/>
          <w:lang w:val="en-GB"/>
        </w:rPr>
        <w:t>student (Lutsk National Technical University, Lutsk)</w:t>
      </w:r>
    </w:p>
    <w:p w14:paraId="4960A095" w14:textId="77777777" w:rsidR="00806CE2" w:rsidRPr="00DF02C1" w:rsidRDefault="00806CE2" w:rsidP="00806CE2">
      <w:pPr>
        <w:tabs>
          <w:tab w:val="left" w:pos="0"/>
        </w:tabs>
        <w:ind w:firstLine="567"/>
        <w:jc w:val="both"/>
        <w:rPr>
          <w:i/>
          <w:sz w:val="20"/>
          <w:szCs w:val="20"/>
          <w:lang w:val="en-GB"/>
        </w:rPr>
      </w:pPr>
    </w:p>
    <w:p w14:paraId="1AFD437B" w14:textId="77777777" w:rsidR="00806CE2" w:rsidRPr="00B223CA" w:rsidRDefault="00806CE2" w:rsidP="00806CE2">
      <w:pPr>
        <w:tabs>
          <w:tab w:val="left" w:pos="567"/>
        </w:tabs>
        <w:ind w:firstLine="567"/>
        <w:jc w:val="both"/>
        <w:rPr>
          <w:i/>
          <w:sz w:val="18"/>
          <w:szCs w:val="18"/>
          <w:lang w:val="uk-UA"/>
        </w:rPr>
      </w:pPr>
      <w:r w:rsidRPr="000D2A46">
        <w:rPr>
          <w:i/>
          <w:sz w:val="18"/>
          <w:szCs w:val="18"/>
          <w:lang w:val="uk-UA"/>
        </w:rPr>
        <w:t>Наведено приклад впливу на трасування</w:t>
      </w:r>
      <w:r w:rsidRPr="00B223CA">
        <w:rPr>
          <w:i/>
          <w:sz w:val="18"/>
          <w:szCs w:val="18"/>
          <w:lang w:val="uk-UA"/>
        </w:rPr>
        <w:t xml:space="preserve"> каналізації даних геодезичних вишукувань, проведених за участі викладачів та студентів Л</w:t>
      </w:r>
      <w:r>
        <w:rPr>
          <w:i/>
          <w:sz w:val="18"/>
          <w:szCs w:val="18"/>
          <w:lang w:val="uk-UA"/>
        </w:rPr>
        <w:t>НТУ</w:t>
      </w:r>
      <w:r w:rsidRPr="00B223CA">
        <w:rPr>
          <w:i/>
          <w:sz w:val="18"/>
          <w:szCs w:val="18"/>
          <w:lang w:val="uk-UA"/>
        </w:rPr>
        <w:t xml:space="preserve"> </w:t>
      </w:r>
      <w:r>
        <w:rPr>
          <w:i/>
          <w:sz w:val="18"/>
          <w:szCs w:val="18"/>
          <w:lang w:val="uk-UA"/>
        </w:rPr>
        <w:t>та</w:t>
      </w:r>
      <w:r w:rsidRPr="00B223CA">
        <w:rPr>
          <w:i/>
          <w:sz w:val="18"/>
          <w:szCs w:val="18"/>
          <w:lang w:val="uk-UA"/>
        </w:rPr>
        <w:t xml:space="preserve"> </w:t>
      </w:r>
      <w:r>
        <w:rPr>
          <w:i/>
          <w:sz w:val="18"/>
          <w:szCs w:val="18"/>
          <w:lang w:val="uk-UA"/>
        </w:rPr>
        <w:t>ВНУ</w:t>
      </w:r>
      <w:r w:rsidRPr="00B223CA">
        <w:rPr>
          <w:i/>
          <w:sz w:val="18"/>
          <w:szCs w:val="18"/>
          <w:lang w:val="uk-UA"/>
        </w:rPr>
        <w:t xml:space="preserve"> імені Лесі Українки.</w:t>
      </w:r>
    </w:p>
    <w:p w14:paraId="011286E0" w14:textId="77777777" w:rsidR="00806CE2" w:rsidRPr="00B223CA" w:rsidRDefault="00806CE2" w:rsidP="00806CE2">
      <w:pPr>
        <w:tabs>
          <w:tab w:val="left" w:pos="0"/>
        </w:tabs>
        <w:ind w:firstLine="567"/>
        <w:jc w:val="both"/>
        <w:rPr>
          <w:i/>
          <w:sz w:val="18"/>
          <w:szCs w:val="18"/>
          <w:lang w:val="uk-UA"/>
        </w:rPr>
      </w:pPr>
    </w:p>
    <w:p w14:paraId="3ECCF3E6" w14:textId="77777777" w:rsidR="00806CE2" w:rsidRPr="00B223CA" w:rsidRDefault="00806CE2" w:rsidP="00806CE2">
      <w:pPr>
        <w:tabs>
          <w:tab w:val="left" w:pos="0"/>
        </w:tabs>
        <w:ind w:firstLine="567"/>
        <w:jc w:val="both"/>
        <w:rPr>
          <w:i/>
          <w:sz w:val="18"/>
          <w:szCs w:val="18"/>
          <w:lang w:val="en-GB"/>
        </w:rPr>
      </w:pPr>
      <w:r w:rsidRPr="00B223CA">
        <w:rPr>
          <w:i/>
          <w:sz w:val="18"/>
          <w:szCs w:val="18"/>
          <w:lang w:val="en-GB"/>
        </w:rPr>
        <w:t>An example of the impact on sewerage routing of geodetic survey data conducted with the participation of teachers and students of LNTU and Lesya Ukrainka VNU is given.</w:t>
      </w:r>
    </w:p>
    <w:p w14:paraId="7BA07396" w14:textId="79F72119" w:rsidR="00866F04" w:rsidRPr="00DF02C1" w:rsidRDefault="00866F04" w:rsidP="00A62746">
      <w:pPr>
        <w:ind w:firstLine="567"/>
        <w:jc w:val="both"/>
        <w:rPr>
          <w:rFonts w:eastAsia="Calibri"/>
          <w:sz w:val="20"/>
          <w:szCs w:val="20"/>
          <w:lang w:val="en-GB"/>
        </w:rPr>
      </w:pPr>
    </w:p>
    <w:p w14:paraId="73221C25" w14:textId="58A972B1" w:rsidR="000858CE" w:rsidRDefault="000858CE" w:rsidP="000858CE">
      <w:pPr>
        <w:tabs>
          <w:tab w:val="left" w:pos="567"/>
        </w:tabs>
        <w:ind w:firstLine="567"/>
        <w:jc w:val="both"/>
        <w:rPr>
          <w:sz w:val="20"/>
          <w:szCs w:val="20"/>
          <w:lang w:val="uk-UA"/>
        </w:rPr>
      </w:pPr>
      <w:r w:rsidRPr="00DF02C1">
        <w:rPr>
          <w:sz w:val="20"/>
          <w:szCs w:val="20"/>
          <w:lang w:val="uk-UA"/>
        </w:rPr>
        <w:t>Нормативною методикою проєктування зовнішніх інженерних мереж обґрунтовується</w:t>
      </w:r>
      <w:r w:rsidRPr="00165D0D">
        <w:rPr>
          <w:sz w:val="20"/>
          <w:szCs w:val="20"/>
          <w:lang w:val="uk-UA"/>
        </w:rPr>
        <w:t xml:space="preserve"> потреба врахування у проєктних рішеннях актуальної інформації про </w:t>
      </w:r>
      <w:r w:rsidRPr="000858CE">
        <w:rPr>
          <w:sz w:val="20"/>
          <w:szCs w:val="20"/>
          <w:lang w:val="uk-UA"/>
        </w:rPr>
        <w:t>геодезичн</w:t>
      </w:r>
      <w:r w:rsidR="008363A7">
        <w:rPr>
          <w:sz w:val="20"/>
          <w:szCs w:val="20"/>
          <w:lang w:val="uk-UA"/>
        </w:rPr>
        <w:t>і</w:t>
      </w:r>
      <w:r w:rsidRPr="000858CE">
        <w:rPr>
          <w:sz w:val="20"/>
          <w:szCs w:val="20"/>
          <w:lang w:val="uk-UA"/>
        </w:rPr>
        <w:t xml:space="preserve"> </w:t>
      </w:r>
      <w:r w:rsidRPr="00165D0D">
        <w:rPr>
          <w:sz w:val="20"/>
          <w:szCs w:val="20"/>
          <w:lang w:val="uk-UA"/>
        </w:rPr>
        <w:t>особливості території</w:t>
      </w:r>
      <w:r>
        <w:rPr>
          <w:sz w:val="20"/>
          <w:szCs w:val="20"/>
          <w:lang w:val="uk-UA"/>
        </w:rPr>
        <w:t xml:space="preserve"> (давністю не більше трьох років)</w:t>
      </w:r>
      <w:r w:rsidRPr="00165D0D">
        <w:rPr>
          <w:sz w:val="20"/>
          <w:szCs w:val="20"/>
          <w:lang w:val="uk-UA"/>
        </w:rPr>
        <w:t xml:space="preserve">, які впливають на обґрунтування їх трасування. </w:t>
      </w:r>
      <w:r w:rsidR="008363A7">
        <w:rPr>
          <w:sz w:val="20"/>
          <w:szCs w:val="20"/>
          <w:lang w:val="uk-UA"/>
        </w:rPr>
        <w:t>У зв'язку з цим, д</w:t>
      </w:r>
      <w:r w:rsidRPr="00165D0D">
        <w:rPr>
          <w:sz w:val="20"/>
          <w:szCs w:val="20"/>
          <w:lang w:val="uk-UA"/>
        </w:rPr>
        <w:t>ля</w:t>
      </w:r>
      <w:r w:rsidR="008363A7">
        <w:rPr>
          <w:sz w:val="20"/>
          <w:szCs w:val="20"/>
          <w:lang w:val="uk-UA"/>
        </w:rPr>
        <w:t xml:space="preserve"> </w:t>
      </w:r>
      <w:r w:rsidRPr="00165D0D">
        <w:rPr>
          <w:sz w:val="20"/>
          <w:szCs w:val="20"/>
          <w:lang w:val="uk-UA"/>
        </w:rPr>
        <w:t xml:space="preserve">прокладання зовнішніх каналізаційних мереж на ділянці території ЛНТУ у Шацькому НПП </w:t>
      </w:r>
      <w:r w:rsidR="00230229">
        <w:rPr>
          <w:sz w:val="20"/>
          <w:szCs w:val="20"/>
          <w:lang w:val="uk-UA"/>
        </w:rPr>
        <w:t>визначались</w:t>
      </w:r>
      <w:r w:rsidRPr="00165D0D">
        <w:rPr>
          <w:sz w:val="20"/>
          <w:szCs w:val="20"/>
          <w:lang w:val="uk-UA"/>
        </w:rPr>
        <w:t xml:space="preserve"> дані </w:t>
      </w:r>
      <w:r w:rsidR="008363A7" w:rsidRPr="000858CE">
        <w:rPr>
          <w:sz w:val="20"/>
          <w:szCs w:val="20"/>
          <w:lang w:val="uk-UA"/>
        </w:rPr>
        <w:t xml:space="preserve">геодезичних </w:t>
      </w:r>
      <w:r w:rsidRPr="00165D0D">
        <w:rPr>
          <w:sz w:val="20"/>
          <w:szCs w:val="20"/>
          <w:lang w:val="uk-UA"/>
        </w:rPr>
        <w:t xml:space="preserve">вишукувань про особливості </w:t>
      </w:r>
      <w:r w:rsidR="008363A7">
        <w:rPr>
          <w:sz w:val="20"/>
          <w:szCs w:val="20"/>
          <w:lang w:val="uk-UA"/>
        </w:rPr>
        <w:t>рельєфу та існуючих споруд</w:t>
      </w:r>
      <w:r w:rsidR="00EA1BE3">
        <w:rPr>
          <w:sz w:val="20"/>
          <w:szCs w:val="20"/>
          <w:lang w:val="uk-UA"/>
        </w:rPr>
        <w:t xml:space="preserve"> </w:t>
      </w:r>
      <w:r w:rsidR="00EA1BE3" w:rsidRPr="00165D0D">
        <w:rPr>
          <w:sz w:val="20"/>
          <w:szCs w:val="20"/>
          <w:lang w:val="uk-UA"/>
        </w:rPr>
        <w:t>[1</w:t>
      </w:r>
      <w:r w:rsidR="00EA1BE3">
        <w:rPr>
          <w:sz w:val="20"/>
          <w:szCs w:val="20"/>
          <w:lang w:val="uk-UA"/>
        </w:rPr>
        <w:t>-3</w:t>
      </w:r>
      <w:r w:rsidR="00EA1BE3" w:rsidRPr="00165D0D">
        <w:rPr>
          <w:sz w:val="20"/>
          <w:szCs w:val="20"/>
          <w:lang w:val="uk-UA"/>
        </w:rPr>
        <w:t>]</w:t>
      </w:r>
      <w:r w:rsidR="008363A7">
        <w:rPr>
          <w:sz w:val="20"/>
          <w:szCs w:val="20"/>
          <w:lang w:val="uk-UA"/>
        </w:rPr>
        <w:t>.</w:t>
      </w:r>
      <w:r w:rsidRPr="00165D0D">
        <w:rPr>
          <w:sz w:val="20"/>
          <w:szCs w:val="20"/>
          <w:lang w:val="uk-UA"/>
        </w:rPr>
        <w:t xml:space="preserve"> </w:t>
      </w:r>
    </w:p>
    <w:p w14:paraId="193CC64D" w14:textId="720E66EB" w:rsidR="00921661" w:rsidRDefault="00EA1BE3" w:rsidP="00A62746">
      <w:pPr>
        <w:ind w:firstLine="567"/>
        <w:jc w:val="both"/>
        <w:rPr>
          <w:sz w:val="20"/>
          <w:szCs w:val="20"/>
          <w:lang w:val="uk-UA"/>
        </w:rPr>
      </w:pPr>
      <w:r>
        <w:rPr>
          <w:rFonts w:eastAsia="Calibri"/>
          <w:sz w:val="20"/>
          <w:szCs w:val="20"/>
          <w:lang w:val="uk-UA"/>
        </w:rPr>
        <w:t>Такі</w:t>
      </w:r>
      <w:r w:rsidR="008363A7">
        <w:rPr>
          <w:rFonts w:eastAsia="Calibri"/>
          <w:sz w:val="20"/>
          <w:szCs w:val="20"/>
          <w:lang w:val="uk-UA"/>
        </w:rPr>
        <w:t xml:space="preserve"> дослідження </w:t>
      </w:r>
      <w:r w:rsidR="00921661">
        <w:rPr>
          <w:rFonts w:eastAsia="Calibri"/>
          <w:sz w:val="20"/>
          <w:szCs w:val="20"/>
          <w:lang w:val="uk-UA"/>
        </w:rPr>
        <w:t>для потреб о</w:t>
      </w:r>
      <w:r w:rsidR="00921661" w:rsidRPr="00921661">
        <w:rPr>
          <w:rFonts w:eastAsia="Calibri"/>
          <w:sz w:val="20"/>
          <w:szCs w:val="20"/>
          <w:lang w:val="uk-UA"/>
        </w:rPr>
        <w:t xml:space="preserve">бґрунтування траси каналізації на основі геодезичних вишукувань </w:t>
      </w:r>
      <w:r w:rsidR="00921661">
        <w:rPr>
          <w:rFonts w:eastAsia="Calibri"/>
          <w:sz w:val="20"/>
          <w:szCs w:val="20"/>
          <w:lang w:val="uk-UA"/>
        </w:rPr>
        <w:t xml:space="preserve">було організовано та виконано </w:t>
      </w:r>
      <w:r w:rsidR="00921661" w:rsidRPr="00EC600E">
        <w:rPr>
          <w:noProof/>
          <w:sz w:val="20"/>
          <w:szCs w:val="20"/>
          <w:lang w:val="uk-UA" w:eastAsia="uk-UA"/>
        </w:rPr>
        <w:t xml:space="preserve">із залученням викладачів </w:t>
      </w:r>
      <w:r w:rsidR="00921661">
        <w:rPr>
          <w:noProof/>
          <w:sz w:val="20"/>
          <w:szCs w:val="20"/>
          <w:lang w:val="uk-UA" w:eastAsia="uk-UA"/>
        </w:rPr>
        <w:t xml:space="preserve">ЛНТУ та </w:t>
      </w:r>
      <w:r w:rsidR="00921661" w:rsidRPr="00921661">
        <w:rPr>
          <w:noProof/>
          <w:sz w:val="20"/>
          <w:szCs w:val="20"/>
          <w:lang w:val="uk-UA" w:eastAsia="uk-UA"/>
        </w:rPr>
        <w:t>ВНУ імені Лесі Українки</w:t>
      </w:r>
      <w:r w:rsidR="00921661">
        <w:rPr>
          <w:noProof/>
          <w:sz w:val="20"/>
          <w:szCs w:val="20"/>
          <w:lang w:val="uk-UA" w:eastAsia="uk-UA"/>
        </w:rPr>
        <w:t>, а також –</w:t>
      </w:r>
      <w:r w:rsidR="00921661" w:rsidRPr="00EC600E">
        <w:rPr>
          <w:noProof/>
          <w:sz w:val="20"/>
          <w:szCs w:val="20"/>
          <w:lang w:val="uk-UA" w:eastAsia="uk-UA"/>
        </w:rPr>
        <w:t xml:space="preserve"> студентів</w:t>
      </w:r>
      <w:r w:rsidR="00921661">
        <w:rPr>
          <w:noProof/>
          <w:sz w:val="20"/>
          <w:szCs w:val="20"/>
          <w:lang w:val="uk-UA" w:eastAsia="uk-UA"/>
        </w:rPr>
        <w:t>-бакалаврів</w:t>
      </w:r>
      <w:r w:rsidR="00921661" w:rsidRPr="00EC600E">
        <w:rPr>
          <w:noProof/>
          <w:sz w:val="20"/>
          <w:szCs w:val="20"/>
          <w:lang w:val="uk-UA" w:eastAsia="uk-UA"/>
        </w:rPr>
        <w:t xml:space="preserve"> спеціальності "Будівництво та цивільна інженерія"</w:t>
      </w:r>
      <w:r w:rsidR="00921661">
        <w:rPr>
          <w:noProof/>
          <w:sz w:val="20"/>
          <w:szCs w:val="20"/>
          <w:lang w:val="uk-UA" w:eastAsia="uk-UA"/>
        </w:rPr>
        <w:t xml:space="preserve"> ЛНТУ. </w:t>
      </w:r>
      <w:r w:rsidR="00921661" w:rsidRPr="00921661">
        <w:rPr>
          <w:noProof/>
          <w:sz w:val="20"/>
          <w:szCs w:val="20"/>
          <w:lang w:val="uk-UA" w:eastAsia="uk-UA"/>
        </w:rPr>
        <w:t>Кафедр</w:t>
      </w:r>
      <w:r w:rsidR="00921661">
        <w:rPr>
          <w:noProof/>
          <w:sz w:val="20"/>
          <w:szCs w:val="20"/>
          <w:lang w:val="uk-UA" w:eastAsia="uk-UA"/>
        </w:rPr>
        <w:t xml:space="preserve">ою </w:t>
      </w:r>
      <w:r w:rsidR="00921661" w:rsidRPr="00921661">
        <w:rPr>
          <w:noProof/>
          <w:sz w:val="20"/>
          <w:szCs w:val="20"/>
          <w:lang w:val="uk-UA" w:eastAsia="uk-UA"/>
        </w:rPr>
        <w:t xml:space="preserve">будівництва та цивільної інженерії факультету архітектури, будівництва та дизайну ЛНТУ </w:t>
      </w:r>
      <w:r w:rsidR="00921661">
        <w:rPr>
          <w:noProof/>
          <w:sz w:val="20"/>
          <w:szCs w:val="20"/>
          <w:lang w:val="uk-UA" w:eastAsia="uk-UA"/>
        </w:rPr>
        <w:t>практикуються</w:t>
      </w:r>
      <w:r w:rsidR="00921661" w:rsidRPr="00921661">
        <w:rPr>
          <w:noProof/>
          <w:sz w:val="20"/>
          <w:szCs w:val="20"/>
          <w:lang w:val="uk-UA" w:eastAsia="uk-UA"/>
        </w:rPr>
        <w:t xml:space="preserve"> заняття </w:t>
      </w:r>
      <w:r w:rsidR="001964EE">
        <w:rPr>
          <w:noProof/>
          <w:sz w:val="20"/>
          <w:szCs w:val="20"/>
          <w:lang w:val="uk-UA" w:eastAsia="uk-UA"/>
        </w:rPr>
        <w:t xml:space="preserve">з дисциплін </w:t>
      </w:r>
      <w:r w:rsidR="001964EE" w:rsidRPr="001964EE">
        <w:rPr>
          <w:noProof/>
          <w:sz w:val="20"/>
          <w:szCs w:val="20"/>
          <w:lang w:val="uk-UA" w:eastAsia="uk-UA"/>
        </w:rPr>
        <w:t>"Інженерні мережі" та "</w:t>
      </w:r>
      <w:r w:rsidR="000D2A46">
        <w:rPr>
          <w:noProof/>
          <w:sz w:val="20"/>
          <w:szCs w:val="20"/>
          <w:lang w:val="uk-UA" w:eastAsia="uk-UA"/>
        </w:rPr>
        <w:t>Інженерна геодезія</w:t>
      </w:r>
      <w:r w:rsidR="001964EE" w:rsidRPr="001964EE">
        <w:rPr>
          <w:noProof/>
          <w:sz w:val="20"/>
          <w:szCs w:val="20"/>
          <w:lang w:val="uk-UA" w:eastAsia="uk-UA"/>
        </w:rPr>
        <w:t>"</w:t>
      </w:r>
      <w:r w:rsidR="001964EE">
        <w:rPr>
          <w:noProof/>
          <w:sz w:val="20"/>
          <w:szCs w:val="20"/>
          <w:lang w:val="uk-UA" w:eastAsia="uk-UA"/>
        </w:rPr>
        <w:t xml:space="preserve">, </w:t>
      </w:r>
      <w:r w:rsidR="00921661" w:rsidRPr="00921661">
        <w:rPr>
          <w:noProof/>
          <w:sz w:val="20"/>
          <w:szCs w:val="20"/>
          <w:lang w:val="uk-UA" w:eastAsia="uk-UA"/>
        </w:rPr>
        <w:t xml:space="preserve">студентських наукових гуртків кафедри, </w:t>
      </w:r>
      <w:r w:rsidR="00447B81">
        <w:rPr>
          <w:sz w:val="20"/>
          <w:szCs w:val="20"/>
          <w:lang w:val="uk-UA" w:eastAsia="uk-UA"/>
        </w:rPr>
        <w:t>як</w:t>
      </w:r>
      <w:r w:rsidR="00921661" w:rsidRPr="00921661">
        <w:rPr>
          <w:sz w:val="20"/>
          <w:szCs w:val="20"/>
          <w:lang w:val="uk-UA" w:eastAsia="uk-UA"/>
        </w:rPr>
        <w:t xml:space="preserve"> гур</w:t>
      </w:r>
      <w:r w:rsidR="00447B81">
        <w:rPr>
          <w:sz w:val="20"/>
          <w:szCs w:val="20"/>
          <w:lang w:val="uk-UA" w:eastAsia="uk-UA"/>
        </w:rPr>
        <w:t>ток</w:t>
      </w:r>
      <w:r w:rsidR="00921661" w:rsidRPr="00921661">
        <w:rPr>
          <w:sz w:val="20"/>
          <w:szCs w:val="20"/>
          <w:lang w:val="uk-UA" w:eastAsia="uk-UA"/>
        </w:rPr>
        <w:t xml:space="preserve"> "Інженерні мережі у будівництві" (керівник С</w:t>
      </w:r>
      <w:r w:rsidR="001964EE">
        <w:rPr>
          <w:sz w:val="20"/>
          <w:szCs w:val="20"/>
          <w:lang w:val="uk-UA" w:eastAsia="uk-UA"/>
        </w:rPr>
        <w:t>.В. </w:t>
      </w:r>
      <w:r w:rsidR="00921661" w:rsidRPr="00921661">
        <w:rPr>
          <w:sz w:val="20"/>
          <w:szCs w:val="20"/>
          <w:lang w:val="uk-UA" w:eastAsia="uk-UA"/>
        </w:rPr>
        <w:t>Синій)</w:t>
      </w:r>
      <w:r w:rsidR="001964EE">
        <w:rPr>
          <w:sz w:val="20"/>
          <w:szCs w:val="20"/>
          <w:lang w:val="uk-UA" w:eastAsia="uk-UA"/>
        </w:rPr>
        <w:t xml:space="preserve">, </w:t>
      </w:r>
      <w:r w:rsidR="00A60F02">
        <w:rPr>
          <w:sz w:val="20"/>
          <w:szCs w:val="20"/>
          <w:lang w:val="uk-UA" w:eastAsia="uk-UA"/>
        </w:rPr>
        <w:t>безпосередньо</w:t>
      </w:r>
      <w:r w:rsidR="001964EE">
        <w:rPr>
          <w:sz w:val="20"/>
          <w:szCs w:val="20"/>
          <w:lang w:val="uk-UA" w:eastAsia="uk-UA"/>
        </w:rPr>
        <w:t xml:space="preserve"> на реальних досліджуваних </w:t>
      </w:r>
      <w:r w:rsidR="00A60F02">
        <w:rPr>
          <w:sz w:val="20"/>
          <w:szCs w:val="20"/>
          <w:lang w:val="uk-UA" w:eastAsia="uk-UA"/>
        </w:rPr>
        <w:t>об'єкта</w:t>
      </w:r>
      <w:r w:rsidR="000F0A59">
        <w:rPr>
          <w:sz w:val="20"/>
          <w:szCs w:val="20"/>
          <w:lang w:val="uk-UA" w:eastAsia="uk-UA"/>
        </w:rPr>
        <w:t>х</w:t>
      </w:r>
      <w:r w:rsidR="001964EE">
        <w:rPr>
          <w:sz w:val="20"/>
          <w:szCs w:val="20"/>
          <w:lang w:val="uk-UA" w:eastAsia="uk-UA"/>
        </w:rPr>
        <w:t xml:space="preserve">. </w:t>
      </w:r>
      <w:r w:rsidR="00447B81">
        <w:rPr>
          <w:sz w:val="20"/>
          <w:szCs w:val="20"/>
          <w:lang w:val="uk-UA" w:eastAsia="uk-UA"/>
        </w:rPr>
        <w:lastRenderedPageBreak/>
        <w:t>С</w:t>
      </w:r>
      <w:r w:rsidR="001964EE">
        <w:rPr>
          <w:sz w:val="20"/>
          <w:szCs w:val="20"/>
          <w:lang w:val="uk-UA" w:eastAsia="uk-UA"/>
        </w:rPr>
        <w:t>пілкування</w:t>
      </w:r>
      <w:r w:rsidR="00447B81">
        <w:rPr>
          <w:sz w:val="20"/>
          <w:szCs w:val="20"/>
          <w:lang w:val="uk-UA" w:eastAsia="uk-UA"/>
        </w:rPr>
        <w:t xml:space="preserve"> </w:t>
      </w:r>
      <w:r w:rsidR="001964EE">
        <w:rPr>
          <w:sz w:val="20"/>
          <w:szCs w:val="20"/>
          <w:lang w:val="uk-UA" w:eastAsia="uk-UA"/>
        </w:rPr>
        <w:t>з фахівцями</w:t>
      </w:r>
      <w:r w:rsidR="00447B81">
        <w:rPr>
          <w:sz w:val="20"/>
          <w:szCs w:val="20"/>
          <w:lang w:val="uk-UA" w:eastAsia="uk-UA"/>
        </w:rPr>
        <w:t>,</w:t>
      </w:r>
      <w:r w:rsidR="001964EE">
        <w:rPr>
          <w:sz w:val="20"/>
          <w:szCs w:val="20"/>
          <w:lang w:val="uk-UA" w:eastAsia="uk-UA"/>
        </w:rPr>
        <w:t xml:space="preserve"> робоча атмосфера</w:t>
      </w:r>
      <w:r w:rsidR="00447B81">
        <w:rPr>
          <w:sz w:val="20"/>
          <w:szCs w:val="20"/>
          <w:lang w:val="uk-UA" w:eastAsia="uk-UA"/>
        </w:rPr>
        <w:t>, сучасне обладнання</w:t>
      </w:r>
      <w:r w:rsidR="001964EE">
        <w:rPr>
          <w:sz w:val="20"/>
          <w:szCs w:val="20"/>
          <w:lang w:val="uk-UA" w:eastAsia="uk-UA"/>
        </w:rPr>
        <w:t xml:space="preserve"> значно підвищують ефективність навчання та виконання студентами </w:t>
      </w:r>
      <w:r w:rsidR="00447B81">
        <w:rPr>
          <w:sz w:val="20"/>
          <w:szCs w:val="20"/>
          <w:lang w:val="uk-UA"/>
        </w:rPr>
        <w:t>НДР</w:t>
      </w:r>
      <w:r w:rsidR="001964EE">
        <w:rPr>
          <w:sz w:val="20"/>
          <w:szCs w:val="20"/>
          <w:lang w:val="uk-UA"/>
        </w:rPr>
        <w:t xml:space="preserve"> (рис. 1).</w:t>
      </w:r>
    </w:p>
    <w:tbl>
      <w:tblPr>
        <w:tblStyle w:val="ab"/>
        <w:tblW w:w="63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721"/>
        <w:gridCol w:w="1696"/>
      </w:tblGrid>
      <w:tr w:rsidR="00124F01" w:rsidRPr="00165D0D" w14:paraId="74A9A5A6" w14:textId="77777777" w:rsidTr="00DF02C1">
        <w:trPr>
          <w:trHeight w:val="1678"/>
          <w:jc w:val="center"/>
        </w:trPr>
        <w:tc>
          <w:tcPr>
            <w:tcW w:w="2977" w:type="dxa"/>
            <w:vMerge w:val="restart"/>
          </w:tcPr>
          <w:p w14:paraId="5B61CF4C" w14:textId="1A3FF8CD" w:rsidR="00124F01" w:rsidRPr="00165D0D" w:rsidRDefault="00124F01" w:rsidP="006D5D38">
            <w:pPr>
              <w:tabs>
                <w:tab w:val="left" w:pos="567"/>
              </w:tabs>
              <w:jc w:val="center"/>
              <w:rPr>
                <w:sz w:val="20"/>
                <w:szCs w:val="20"/>
                <w:lang w:val="uk-UA"/>
              </w:rPr>
            </w:pPr>
            <w:r w:rsidRPr="00CC69AE">
              <w:rPr>
                <w:noProof/>
                <w:sz w:val="20"/>
                <w:szCs w:val="20"/>
                <w:lang w:val="uk-UA" w:eastAsia="uk-UA"/>
              </w:rPr>
              <w:drawing>
                <wp:inline distT="0" distB="0" distL="0" distR="0" wp14:anchorId="1AC6ED94" wp14:editId="3E810EC5">
                  <wp:extent cx="1733265" cy="2310817"/>
                  <wp:effectExtent l="0" t="0" r="635" b="0"/>
                  <wp:docPr id="13" name="Рисунок 13" descr="D:\DOK\СТАТТІ\Будівництво\Стаття 2025\конф БЦІ МБГ Луцьк 2025.11.14\фото Світязь\геод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DOK\СТАТТІ\Будівництво\Стаття 2025\конф БЦІ МБГ Луцьк 2025.11.14\фото Світязь\геод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6649" cy="2341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7" w:type="dxa"/>
            <w:gridSpan w:val="2"/>
          </w:tcPr>
          <w:p w14:paraId="525A7E3C" w14:textId="2AE576C6" w:rsidR="00124F01" w:rsidRPr="00165D0D" w:rsidRDefault="00DF02C1" w:rsidP="00124F01">
            <w:pPr>
              <w:tabs>
                <w:tab w:val="left" w:pos="567"/>
              </w:tabs>
              <w:jc w:val="center"/>
              <w:rPr>
                <w:sz w:val="20"/>
                <w:szCs w:val="20"/>
                <w:lang w:val="uk-UA"/>
              </w:rPr>
            </w:pPr>
            <w:r w:rsidRPr="00DF02C1">
              <w:rPr>
                <w:noProof/>
                <w:sz w:val="20"/>
                <w:szCs w:val="20"/>
                <w:lang w:val="uk-UA" w:eastAsia="uk-UA"/>
              </w:rPr>
              <w:drawing>
                <wp:inline distT="0" distB="0" distL="0" distR="0" wp14:anchorId="703ED483" wp14:editId="60214E8C">
                  <wp:extent cx="1790700" cy="1059726"/>
                  <wp:effectExtent l="0" t="0" r="0" b="7620"/>
                  <wp:docPr id="1" name="Рисунок 1" descr="D:\DOK\СТАТТІ\Будівництво\Стаття 2025\конф БЦІ МБГ Луцьк 2025.11.14\фото Світязь\геод4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DOK\СТАТТІ\Будівництво\Стаття 2025\конф БЦІ МБГ Луцьк 2025.11.14\фото Світязь\геод4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5284" cy="1086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5D38" w:rsidRPr="00165D0D" w14:paraId="0D1179BB" w14:textId="77777777" w:rsidTr="00DF02C1">
        <w:trPr>
          <w:trHeight w:val="172"/>
          <w:jc w:val="center"/>
        </w:trPr>
        <w:tc>
          <w:tcPr>
            <w:tcW w:w="2977" w:type="dxa"/>
            <w:vMerge/>
          </w:tcPr>
          <w:p w14:paraId="1CD5E619" w14:textId="77777777" w:rsidR="006D5D38" w:rsidRPr="00CC69AE" w:rsidRDefault="006D5D38" w:rsidP="006D5D38">
            <w:pPr>
              <w:tabs>
                <w:tab w:val="left" w:pos="567"/>
              </w:tabs>
              <w:jc w:val="center"/>
              <w:rPr>
                <w:noProof/>
                <w:sz w:val="20"/>
                <w:szCs w:val="20"/>
                <w:lang w:val="uk-UA" w:eastAsia="uk-UA"/>
              </w:rPr>
            </w:pPr>
          </w:p>
        </w:tc>
        <w:tc>
          <w:tcPr>
            <w:tcW w:w="1721" w:type="dxa"/>
          </w:tcPr>
          <w:p w14:paraId="6D53540E" w14:textId="0483C66E" w:rsidR="006D5D38" w:rsidRPr="006D5D38" w:rsidRDefault="000858CE" w:rsidP="006D5D38">
            <w:pPr>
              <w:tabs>
                <w:tab w:val="left" w:pos="567"/>
              </w:tabs>
              <w:jc w:val="center"/>
              <w:rPr>
                <w:noProof/>
                <w:sz w:val="20"/>
                <w:szCs w:val="20"/>
                <w:lang w:val="uk-UA" w:eastAsia="uk-UA"/>
              </w:rPr>
            </w:pPr>
            <w:r>
              <w:rPr>
                <w:noProof/>
                <w:sz w:val="20"/>
                <w:szCs w:val="20"/>
                <w:lang w:val="uk-UA" w:eastAsia="uk-UA"/>
              </w:rPr>
              <w:t>в</w:t>
            </w:r>
          </w:p>
        </w:tc>
        <w:tc>
          <w:tcPr>
            <w:tcW w:w="1696" w:type="dxa"/>
          </w:tcPr>
          <w:p w14:paraId="54E91683" w14:textId="4E601126" w:rsidR="006D5D38" w:rsidRPr="006D5D38" w:rsidRDefault="000858CE" w:rsidP="006D5D38">
            <w:pPr>
              <w:tabs>
                <w:tab w:val="left" w:pos="567"/>
              </w:tabs>
              <w:jc w:val="center"/>
              <w:rPr>
                <w:noProof/>
                <w:sz w:val="20"/>
                <w:szCs w:val="20"/>
                <w:lang w:val="uk-UA" w:eastAsia="uk-UA"/>
              </w:rPr>
            </w:pPr>
            <w:r>
              <w:rPr>
                <w:noProof/>
                <w:sz w:val="20"/>
                <w:szCs w:val="20"/>
                <w:lang w:val="uk-UA" w:eastAsia="uk-UA"/>
              </w:rPr>
              <w:t>г</w:t>
            </w:r>
          </w:p>
        </w:tc>
      </w:tr>
      <w:tr w:rsidR="006D5D38" w:rsidRPr="00165D0D" w14:paraId="4E9D656F" w14:textId="77777777" w:rsidTr="00DF02C1">
        <w:trPr>
          <w:trHeight w:val="128"/>
          <w:jc w:val="center"/>
        </w:trPr>
        <w:tc>
          <w:tcPr>
            <w:tcW w:w="2977" w:type="dxa"/>
            <w:vMerge/>
          </w:tcPr>
          <w:p w14:paraId="592F585D" w14:textId="77777777" w:rsidR="006D5D38" w:rsidRPr="00CC69AE" w:rsidRDefault="006D5D38" w:rsidP="006D5D38">
            <w:pPr>
              <w:tabs>
                <w:tab w:val="left" w:pos="567"/>
              </w:tabs>
              <w:jc w:val="center"/>
              <w:rPr>
                <w:noProof/>
                <w:sz w:val="20"/>
                <w:szCs w:val="20"/>
                <w:lang w:val="uk-UA" w:eastAsia="uk-UA"/>
              </w:rPr>
            </w:pPr>
          </w:p>
        </w:tc>
        <w:tc>
          <w:tcPr>
            <w:tcW w:w="3417" w:type="dxa"/>
            <w:gridSpan w:val="2"/>
          </w:tcPr>
          <w:p w14:paraId="146054AE" w14:textId="1AAF08AF" w:rsidR="006D5D38" w:rsidRPr="006D5D38" w:rsidRDefault="006D5D38" w:rsidP="006D5D38">
            <w:pPr>
              <w:tabs>
                <w:tab w:val="left" w:pos="567"/>
              </w:tabs>
              <w:jc w:val="center"/>
              <w:rPr>
                <w:noProof/>
                <w:sz w:val="20"/>
                <w:szCs w:val="20"/>
                <w:lang w:val="uk-UA" w:eastAsia="uk-UA"/>
              </w:rPr>
            </w:pPr>
            <w:r w:rsidRPr="006D5D38">
              <w:rPr>
                <w:noProof/>
                <w:sz w:val="20"/>
                <w:szCs w:val="20"/>
                <w:lang w:val="uk-UA" w:eastAsia="uk-UA"/>
              </w:rPr>
              <w:drawing>
                <wp:inline distT="0" distB="0" distL="0" distR="0" wp14:anchorId="47ECEF46" wp14:editId="3CF57E9E">
                  <wp:extent cx="1498686" cy="1124088"/>
                  <wp:effectExtent l="0" t="0" r="6350" b="0"/>
                  <wp:docPr id="15" name="Рисунок 15" descr="D:\DOK\СТАТТІ\Будівництво\Стаття 2025\конф БЦІ МБГ Луцьк 2025.11.14\фото Світязь\с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DOK\СТАТТІ\Будівництво\Стаття 2025\конф БЦІ МБГ Луцьк 2025.11.14\фото Світязь\с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207" cy="1192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6CE2" w:rsidRPr="00165D0D" w14:paraId="12E60D5A" w14:textId="77777777" w:rsidTr="00DF02C1">
        <w:trPr>
          <w:jc w:val="center"/>
        </w:trPr>
        <w:tc>
          <w:tcPr>
            <w:tcW w:w="2977" w:type="dxa"/>
          </w:tcPr>
          <w:p w14:paraId="2B44DA0D" w14:textId="31B2367D" w:rsidR="00806CE2" w:rsidRPr="00165D0D" w:rsidRDefault="000858CE" w:rsidP="006D5D38">
            <w:pPr>
              <w:tabs>
                <w:tab w:val="left" w:pos="567"/>
              </w:tabs>
              <w:jc w:val="center"/>
              <w:rPr>
                <w:noProof/>
                <w:sz w:val="20"/>
                <w:szCs w:val="20"/>
                <w:lang w:val="uk-UA" w:eastAsia="uk-UA"/>
              </w:rPr>
            </w:pPr>
            <w:r>
              <w:rPr>
                <w:noProof/>
                <w:sz w:val="20"/>
                <w:szCs w:val="20"/>
                <w:lang w:val="uk-UA" w:eastAsia="uk-UA"/>
              </w:rPr>
              <w:t>а</w:t>
            </w:r>
          </w:p>
        </w:tc>
        <w:tc>
          <w:tcPr>
            <w:tcW w:w="3417" w:type="dxa"/>
            <w:gridSpan w:val="2"/>
          </w:tcPr>
          <w:p w14:paraId="0B6DEB3C" w14:textId="567EB891" w:rsidR="00806CE2" w:rsidRPr="00165D0D" w:rsidRDefault="000858CE" w:rsidP="006D5D38">
            <w:pPr>
              <w:tabs>
                <w:tab w:val="left" w:pos="567"/>
              </w:tabs>
              <w:jc w:val="center"/>
              <w:rPr>
                <w:noProof/>
                <w:sz w:val="20"/>
                <w:szCs w:val="20"/>
                <w:lang w:val="uk-UA" w:eastAsia="uk-UA"/>
              </w:rPr>
            </w:pPr>
            <w:r>
              <w:rPr>
                <w:noProof/>
                <w:sz w:val="20"/>
                <w:szCs w:val="20"/>
                <w:lang w:val="uk-UA" w:eastAsia="uk-UA"/>
              </w:rPr>
              <w:t>д</w:t>
            </w:r>
          </w:p>
        </w:tc>
      </w:tr>
      <w:tr w:rsidR="000858CE" w:rsidRPr="00165D0D" w14:paraId="22740510" w14:textId="77777777" w:rsidTr="00DF02C1">
        <w:trPr>
          <w:jc w:val="center"/>
        </w:trPr>
        <w:tc>
          <w:tcPr>
            <w:tcW w:w="2977" w:type="dxa"/>
          </w:tcPr>
          <w:p w14:paraId="1E9B0426" w14:textId="0B4FDF0D" w:rsidR="000858CE" w:rsidRPr="00165D0D" w:rsidRDefault="000858CE" w:rsidP="006D5D38">
            <w:pPr>
              <w:tabs>
                <w:tab w:val="left" w:pos="567"/>
              </w:tabs>
              <w:jc w:val="center"/>
              <w:rPr>
                <w:sz w:val="20"/>
                <w:szCs w:val="20"/>
                <w:lang w:val="uk-UA"/>
              </w:rPr>
            </w:pPr>
            <w:r w:rsidRPr="00CC69AE">
              <w:rPr>
                <w:noProof/>
                <w:sz w:val="20"/>
                <w:szCs w:val="20"/>
                <w:lang w:val="uk-UA" w:eastAsia="uk-UA"/>
              </w:rPr>
              <w:drawing>
                <wp:inline distT="0" distB="0" distL="0" distR="0" wp14:anchorId="122CA575" wp14:editId="4719D55D">
                  <wp:extent cx="1761980" cy="1321573"/>
                  <wp:effectExtent l="0" t="0" r="0" b="0"/>
                  <wp:docPr id="14" name="Рисунок 14" descr="D:\DOK\СТАТТІ\Будівництво\Стаття 2025\конф БЦІ МБГ Луцьк 2025.11.14\фото Світязь\геод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DOK\СТАТТІ\Будівництво\Стаття 2025\конф БЦІ МБГ Луцьк 2025.11.14\фото Світязь\геод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1676" cy="1366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7" w:type="dxa"/>
            <w:gridSpan w:val="2"/>
            <w:vMerge w:val="restart"/>
          </w:tcPr>
          <w:p w14:paraId="57DBEBCD" w14:textId="77777777" w:rsidR="00DF02C1" w:rsidRDefault="000858CE" w:rsidP="000858CE">
            <w:pPr>
              <w:tabs>
                <w:tab w:val="left" w:pos="567"/>
              </w:tabs>
              <w:jc w:val="center"/>
              <w:rPr>
                <w:noProof/>
                <w:sz w:val="20"/>
                <w:szCs w:val="20"/>
                <w:lang w:val="uk-UA" w:eastAsia="uk-UA"/>
              </w:rPr>
            </w:pPr>
            <w:r>
              <w:rPr>
                <w:noProof/>
                <w:sz w:val="20"/>
                <w:szCs w:val="20"/>
                <w:lang w:val="uk-UA" w:eastAsia="uk-UA"/>
              </w:rPr>
              <w:t xml:space="preserve">Рис. 1. Фото досліджень з </w:t>
            </w:r>
            <w:r w:rsidRPr="000858CE">
              <w:rPr>
                <w:noProof/>
                <w:sz w:val="20"/>
                <w:szCs w:val="20"/>
                <w:lang w:val="uk-UA" w:eastAsia="uk-UA"/>
              </w:rPr>
              <w:t xml:space="preserve">геодезичних </w:t>
            </w:r>
            <w:r w:rsidRPr="004D11FB">
              <w:rPr>
                <w:noProof/>
                <w:sz w:val="20"/>
                <w:szCs w:val="20"/>
                <w:lang w:val="uk-UA" w:eastAsia="uk-UA"/>
              </w:rPr>
              <w:t>вишукувань</w:t>
            </w:r>
            <w:r>
              <w:rPr>
                <w:noProof/>
                <w:sz w:val="20"/>
                <w:szCs w:val="20"/>
                <w:lang w:val="uk-UA" w:eastAsia="uk-UA"/>
              </w:rPr>
              <w:t xml:space="preserve"> для </w:t>
            </w:r>
            <w:r w:rsidRPr="004D11FB">
              <w:rPr>
                <w:noProof/>
                <w:sz w:val="20"/>
                <w:szCs w:val="20"/>
                <w:lang w:val="uk-UA" w:eastAsia="uk-UA"/>
              </w:rPr>
              <w:t xml:space="preserve">зовнішніх каналізаційних мереж на ділянці території ЛНТУ у </w:t>
            </w:r>
          </w:p>
          <w:p w14:paraId="140F1AF2" w14:textId="354FF7A3" w:rsidR="000858CE" w:rsidRDefault="000858CE" w:rsidP="000858CE">
            <w:pPr>
              <w:tabs>
                <w:tab w:val="left" w:pos="567"/>
              </w:tabs>
              <w:jc w:val="center"/>
              <w:rPr>
                <w:noProof/>
                <w:sz w:val="20"/>
                <w:szCs w:val="20"/>
                <w:lang w:val="uk-UA" w:eastAsia="uk-UA"/>
              </w:rPr>
            </w:pPr>
            <w:r w:rsidRPr="004D11FB">
              <w:rPr>
                <w:noProof/>
                <w:sz w:val="20"/>
                <w:szCs w:val="20"/>
                <w:lang w:val="uk-UA" w:eastAsia="uk-UA"/>
              </w:rPr>
              <w:t>Шацькому НПП</w:t>
            </w:r>
            <w:r>
              <w:rPr>
                <w:noProof/>
                <w:sz w:val="20"/>
                <w:szCs w:val="20"/>
                <w:lang w:val="uk-UA" w:eastAsia="uk-UA"/>
              </w:rPr>
              <w:t xml:space="preserve"> (</w:t>
            </w:r>
            <w:r w:rsidRPr="00EC600E">
              <w:rPr>
                <w:noProof/>
                <w:sz w:val="20"/>
                <w:szCs w:val="20"/>
                <w:lang w:val="uk-UA" w:eastAsia="uk-UA"/>
              </w:rPr>
              <w:t>листопад 2025</w:t>
            </w:r>
            <w:r w:rsidR="000F0A59">
              <w:rPr>
                <w:noProof/>
                <w:sz w:val="20"/>
                <w:szCs w:val="20"/>
                <w:lang w:val="uk-UA" w:eastAsia="uk-UA"/>
              </w:rPr>
              <w:t> </w:t>
            </w:r>
            <w:r w:rsidRPr="00EC600E">
              <w:rPr>
                <w:noProof/>
                <w:sz w:val="20"/>
                <w:szCs w:val="20"/>
                <w:lang w:val="uk-UA" w:eastAsia="uk-UA"/>
              </w:rPr>
              <w:t>р</w:t>
            </w:r>
            <w:r>
              <w:rPr>
                <w:noProof/>
                <w:sz w:val="20"/>
                <w:szCs w:val="20"/>
                <w:lang w:val="uk-UA" w:eastAsia="uk-UA"/>
              </w:rPr>
              <w:t xml:space="preserve">.), </w:t>
            </w:r>
            <w:r w:rsidRPr="00EC600E">
              <w:rPr>
                <w:noProof/>
                <w:sz w:val="20"/>
                <w:szCs w:val="20"/>
                <w:lang w:val="uk-UA" w:eastAsia="uk-UA"/>
              </w:rPr>
              <w:t>проведених Науково-дослідною будівельною лабораторією ЛНТУ</w:t>
            </w:r>
            <w:r>
              <w:rPr>
                <w:noProof/>
                <w:sz w:val="20"/>
                <w:szCs w:val="20"/>
                <w:lang w:val="uk-UA" w:eastAsia="uk-UA"/>
              </w:rPr>
              <w:t>:</w:t>
            </w:r>
          </w:p>
          <w:p w14:paraId="6303AF84" w14:textId="77777777" w:rsidR="000858CE" w:rsidRDefault="000858CE" w:rsidP="000858CE">
            <w:pPr>
              <w:tabs>
                <w:tab w:val="left" w:pos="567"/>
              </w:tabs>
              <w:jc w:val="center"/>
              <w:rPr>
                <w:noProof/>
                <w:sz w:val="20"/>
                <w:szCs w:val="20"/>
                <w:lang w:val="uk-UA" w:eastAsia="uk-UA"/>
              </w:rPr>
            </w:pPr>
            <w:r>
              <w:rPr>
                <w:noProof/>
                <w:sz w:val="20"/>
                <w:szCs w:val="20"/>
                <w:lang w:val="uk-UA" w:eastAsia="uk-UA"/>
              </w:rPr>
              <w:t>а, б, д</w:t>
            </w:r>
            <w:r w:rsidRPr="00EC600E">
              <w:rPr>
                <w:noProof/>
                <w:sz w:val="20"/>
                <w:szCs w:val="20"/>
                <w:lang w:val="uk-UA" w:eastAsia="uk-UA"/>
              </w:rPr>
              <w:t xml:space="preserve"> </w:t>
            </w:r>
            <w:r>
              <w:rPr>
                <w:noProof/>
                <w:sz w:val="20"/>
                <w:szCs w:val="20"/>
                <w:lang w:val="uk-UA" w:eastAsia="uk-UA"/>
              </w:rPr>
              <w:t xml:space="preserve">– обговорення даних; </w:t>
            </w:r>
          </w:p>
          <w:p w14:paraId="3BFAE019" w14:textId="1C995794" w:rsidR="000858CE" w:rsidRPr="00165D0D" w:rsidRDefault="000858CE" w:rsidP="0035599A">
            <w:pPr>
              <w:tabs>
                <w:tab w:val="left" w:pos="567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noProof/>
                <w:sz w:val="20"/>
                <w:szCs w:val="20"/>
                <w:lang w:val="uk-UA" w:eastAsia="uk-UA"/>
              </w:rPr>
              <w:t xml:space="preserve">в, </w:t>
            </w:r>
            <w:r w:rsidR="0035599A">
              <w:rPr>
                <w:noProof/>
                <w:sz w:val="20"/>
                <w:szCs w:val="20"/>
                <w:lang w:val="uk-UA" w:eastAsia="uk-UA"/>
              </w:rPr>
              <w:t>г</w:t>
            </w:r>
            <w:r>
              <w:rPr>
                <w:noProof/>
                <w:sz w:val="20"/>
                <w:szCs w:val="20"/>
                <w:lang w:val="uk-UA" w:eastAsia="uk-UA"/>
              </w:rPr>
              <w:t xml:space="preserve"> – фрагменти даних</w:t>
            </w:r>
          </w:p>
        </w:tc>
      </w:tr>
      <w:tr w:rsidR="000858CE" w:rsidRPr="00165D0D" w14:paraId="304BE466" w14:textId="77777777" w:rsidTr="00DF02C1">
        <w:trPr>
          <w:jc w:val="center"/>
        </w:trPr>
        <w:tc>
          <w:tcPr>
            <w:tcW w:w="2977" w:type="dxa"/>
          </w:tcPr>
          <w:p w14:paraId="1F8899B7" w14:textId="1CE12637" w:rsidR="000858CE" w:rsidRPr="00CC69AE" w:rsidRDefault="000858CE" w:rsidP="006D5D38">
            <w:pPr>
              <w:tabs>
                <w:tab w:val="left" w:pos="567"/>
              </w:tabs>
              <w:jc w:val="center"/>
              <w:rPr>
                <w:noProof/>
                <w:sz w:val="20"/>
                <w:szCs w:val="20"/>
                <w:lang w:val="uk-UA" w:eastAsia="uk-UA"/>
              </w:rPr>
            </w:pPr>
            <w:r>
              <w:rPr>
                <w:noProof/>
                <w:sz w:val="20"/>
                <w:szCs w:val="20"/>
                <w:lang w:val="uk-UA" w:eastAsia="uk-UA"/>
              </w:rPr>
              <w:t>б</w:t>
            </w:r>
          </w:p>
        </w:tc>
        <w:tc>
          <w:tcPr>
            <w:tcW w:w="3417" w:type="dxa"/>
            <w:gridSpan w:val="2"/>
            <w:vMerge/>
          </w:tcPr>
          <w:p w14:paraId="567DB9C0" w14:textId="77777777" w:rsidR="000858CE" w:rsidRPr="00165D0D" w:rsidRDefault="000858CE" w:rsidP="006D5D38">
            <w:pPr>
              <w:tabs>
                <w:tab w:val="left" w:pos="567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14:paraId="5C7A6ACA" w14:textId="3ADAAD17" w:rsidR="000F0A59" w:rsidRPr="001F428B" w:rsidRDefault="000F0A59" w:rsidP="000F0A59">
      <w:pPr>
        <w:tabs>
          <w:tab w:val="left" w:pos="567"/>
        </w:tabs>
        <w:ind w:firstLine="567"/>
        <w:jc w:val="both"/>
        <w:rPr>
          <w:sz w:val="20"/>
          <w:szCs w:val="20"/>
          <w:lang w:val="uk-UA"/>
        </w:rPr>
      </w:pPr>
      <w:r w:rsidRPr="001F428B">
        <w:rPr>
          <w:sz w:val="20"/>
          <w:szCs w:val="20"/>
          <w:lang w:val="uk-UA"/>
        </w:rPr>
        <w:t xml:space="preserve">Станом на сьогодні дані </w:t>
      </w:r>
      <w:r w:rsidRPr="000858CE">
        <w:rPr>
          <w:noProof/>
          <w:sz w:val="20"/>
          <w:szCs w:val="20"/>
          <w:lang w:val="uk-UA" w:eastAsia="uk-UA"/>
        </w:rPr>
        <w:t xml:space="preserve">геодезичних </w:t>
      </w:r>
      <w:r w:rsidRPr="001F428B">
        <w:rPr>
          <w:sz w:val="20"/>
          <w:szCs w:val="20"/>
          <w:lang w:val="uk-UA"/>
        </w:rPr>
        <w:t xml:space="preserve">вишукувань систематизуються з метою проведення їх оцінювання, обґрунтування та аналізу </w:t>
      </w:r>
      <w:r w:rsidR="00EA1BE3">
        <w:rPr>
          <w:sz w:val="20"/>
          <w:szCs w:val="20"/>
          <w:lang w:val="uk-UA"/>
        </w:rPr>
        <w:t xml:space="preserve">за </w:t>
      </w:r>
      <w:r w:rsidRPr="00165D0D">
        <w:rPr>
          <w:sz w:val="20"/>
          <w:szCs w:val="20"/>
          <w:lang w:val="uk-UA"/>
        </w:rPr>
        <w:t>[1</w:t>
      </w:r>
      <w:r w:rsidR="00EA1BE3">
        <w:rPr>
          <w:sz w:val="20"/>
          <w:szCs w:val="20"/>
          <w:lang w:val="uk-UA"/>
        </w:rPr>
        <w:t>-3</w:t>
      </w:r>
      <w:r w:rsidR="00B158D9">
        <w:rPr>
          <w:sz w:val="20"/>
          <w:szCs w:val="20"/>
          <w:lang w:val="uk-UA"/>
        </w:rPr>
        <w:t xml:space="preserve"> та ін.</w:t>
      </w:r>
      <w:r w:rsidRPr="00165D0D">
        <w:rPr>
          <w:sz w:val="20"/>
          <w:szCs w:val="20"/>
          <w:lang w:val="uk-UA"/>
        </w:rPr>
        <w:t>]</w:t>
      </w:r>
      <w:r>
        <w:rPr>
          <w:sz w:val="20"/>
          <w:szCs w:val="20"/>
          <w:lang w:val="uk-UA"/>
        </w:rPr>
        <w:t xml:space="preserve"> </w:t>
      </w:r>
      <w:r w:rsidRPr="001F428B">
        <w:rPr>
          <w:sz w:val="20"/>
          <w:szCs w:val="20"/>
          <w:lang w:val="uk-UA"/>
        </w:rPr>
        <w:t xml:space="preserve">для прийняття </w:t>
      </w:r>
      <w:r>
        <w:rPr>
          <w:sz w:val="20"/>
          <w:szCs w:val="20"/>
          <w:lang w:val="uk-UA"/>
        </w:rPr>
        <w:t xml:space="preserve">правильного </w:t>
      </w:r>
      <w:r w:rsidRPr="001F428B">
        <w:rPr>
          <w:sz w:val="20"/>
          <w:szCs w:val="20"/>
          <w:lang w:val="uk-UA"/>
        </w:rPr>
        <w:t>рішення з трасування каналізації.</w:t>
      </w:r>
    </w:p>
    <w:p w14:paraId="68F6F089" w14:textId="6476AA7C" w:rsidR="007A2BAB" w:rsidRDefault="007A2BAB" w:rsidP="005C08EA">
      <w:pPr>
        <w:tabs>
          <w:tab w:val="left" w:pos="567"/>
        </w:tabs>
        <w:ind w:firstLine="567"/>
        <w:jc w:val="both"/>
        <w:rPr>
          <w:sz w:val="18"/>
          <w:szCs w:val="18"/>
          <w:lang w:val="uk-UA"/>
        </w:rPr>
      </w:pPr>
    </w:p>
    <w:p w14:paraId="2F484DF6" w14:textId="03E39E61" w:rsidR="00B829DE" w:rsidRDefault="00447B81" w:rsidP="00447B81">
      <w:pPr>
        <w:ind w:firstLine="567"/>
        <w:jc w:val="both"/>
        <w:rPr>
          <w:rFonts w:eastAsia="Calibri"/>
          <w:sz w:val="18"/>
          <w:szCs w:val="18"/>
          <w:lang w:val="uk-UA"/>
        </w:rPr>
      </w:pPr>
      <w:r w:rsidRPr="000F0A59">
        <w:rPr>
          <w:rFonts w:eastAsia="Calibri"/>
          <w:b/>
          <w:sz w:val="18"/>
          <w:szCs w:val="18"/>
          <w:lang w:val="uk-UA"/>
        </w:rPr>
        <w:t>1</w:t>
      </w:r>
      <w:r w:rsidRPr="000F0A59">
        <w:rPr>
          <w:rFonts w:eastAsia="Calibri"/>
          <w:sz w:val="18"/>
          <w:szCs w:val="18"/>
        </w:rPr>
        <w:t>.</w:t>
      </w:r>
      <w:r w:rsidRPr="000F0A59">
        <w:rPr>
          <w:rFonts w:eastAsia="Calibri"/>
          <w:sz w:val="18"/>
          <w:szCs w:val="18"/>
          <w:lang w:val="uk-UA"/>
        </w:rPr>
        <w:t xml:space="preserve"> </w:t>
      </w:r>
      <w:r>
        <w:rPr>
          <w:rFonts w:eastAsia="Calibri"/>
          <w:sz w:val="18"/>
          <w:szCs w:val="18"/>
          <w:lang w:val="uk-UA"/>
        </w:rPr>
        <w:t xml:space="preserve">Синій С.В., Мельник Ю.А., </w:t>
      </w:r>
      <w:proofErr w:type="spellStart"/>
      <w:r>
        <w:rPr>
          <w:rFonts w:eastAsia="Calibri"/>
          <w:sz w:val="18"/>
          <w:szCs w:val="18"/>
          <w:lang w:val="uk-UA"/>
        </w:rPr>
        <w:t>Сунак</w:t>
      </w:r>
      <w:proofErr w:type="spellEnd"/>
      <w:r>
        <w:rPr>
          <w:rFonts w:eastAsia="Calibri"/>
          <w:sz w:val="18"/>
          <w:szCs w:val="18"/>
          <w:lang w:val="uk-UA"/>
        </w:rPr>
        <w:t xml:space="preserve"> П.</w:t>
      </w:r>
      <w:r w:rsidRPr="000F0A59">
        <w:rPr>
          <w:rFonts w:eastAsia="Calibri"/>
          <w:sz w:val="18"/>
          <w:szCs w:val="18"/>
          <w:lang w:val="uk-UA"/>
        </w:rPr>
        <w:t xml:space="preserve">О. </w:t>
      </w:r>
      <w:r w:rsidRPr="00A903E4">
        <w:rPr>
          <w:rFonts w:eastAsia="Calibri"/>
          <w:sz w:val="18"/>
          <w:szCs w:val="18"/>
          <w:lang w:val="uk-UA"/>
        </w:rPr>
        <w:t xml:space="preserve">та ін. </w:t>
      </w:r>
      <w:r w:rsidRPr="000F0A59">
        <w:rPr>
          <w:rFonts w:eastAsia="Calibri"/>
          <w:sz w:val="18"/>
          <w:szCs w:val="18"/>
          <w:lang w:val="uk-UA"/>
        </w:rPr>
        <w:t xml:space="preserve">Проектування каналізаційних мереж з використанням принципів SWOT-аналізу. </w:t>
      </w:r>
      <w:r w:rsidRPr="000F0A59">
        <w:rPr>
          <w:rFonts w:eastAsia="Calibri"/>
          <w:i/>
          <w:sz w:val="18"/>
          <w:szCs w:val="18"/>
          <w:lang w:val="uk-UA"/>
        </w:rPr>
        <w:t>Сучасні технології та методи розрахунків у будівництві</w:t>
      </w:r>
      <w:r w:rsidRPr="000F0A59">
        <w:rPr>
          <w:rFonts w:eastAsia="Calibri"/>
          <w:sz w:val="18"/>
          <w:szCs w:val="18"/>
          <w:lang w:val="uk-UA"/>
        </w:rPr>
        <w:t xml:space="preserve">, 2021, 16, 171-179. </w:t>
      </w:r>
      <w:hyperlink r:id="rId12" w:history="1">
        <w:r w:rsidRPr="000F0A59">
          <w:rPr>
            <w:rStyle w:val="a3"/>
            <w:rFonts w:eastAsia="Calibri"/>
            <w:sz w:val="18"/>
            <w:szCs w:val="18"/>
            <w:lang w:val="uk-UA"/>
          </w:rPr>
          <w:t>https://doi.org/10.36910/6775-2410-6208-2021-6(16)-22</w:t>
        </w:r>
      </w:hyperlink>
      <w:r w:rsidRPr="000F0A59">
        <w:rPr>
          <w:rFonts w:eastAsia="Calibri"/>
          <w:sz w:val="18"/>
          <w:szCs w:val="18"/>
          <w:lang w:val="uk-UA"/>
        </w:rPr>
        <w:t xml:space="preserve"> . </w:t>
      </w:r>
      <w:r w:rsidRPr="000F0A59">
        <w:rPr>
          <w:rFonts w:eastAsia="Calibri"/>
          <w:b/>
          <w:sz w:val="18"/>
          <w:szCs w:val="18"/>
          <w:lang w:val="uk-UA"/>
        </w:rPr>
        <w:t>2</w:t>
      </w:r>
      <w:r w:rsidRPr="000F0A59">
        <w:rPr>
          <w:rFonts w:eastAsia="Calibri"/>
          <w:sz w:val="18"/>
          <w:szCs w:val="18"/>
          <w:lang w:val="uk-UA"/>
        </w:rPr>
        <w:t xml:space="preserve">. </w:t>
      </w:r>
      <w:r w:rsidRPr="00982323">
        <w:rPr>
          <w:rFonts w:eastAsia="Calibri"/>
          <w:sz w:val="18"/>
          <w:szCs w:val="18"/>
          <w:lang w:val="uk-UA"/>
        </w:rPr>
        <w:t>Синій С. В., Ксьоншкевич Л. М., Крантовська О. М. та ін. Роль інформаційно-комунікаційних технологій</w:t>
      </w:r>
      <w:r w:rsidRPr="00A903E4">
        <w:rPr>
          <w:rFonts w:eastAsia="Calibri"/>
          <w:sz w:val="18"/>
          <w:szCs w:val="18"/>
          <w:lang w:val="uk-UA"/>
        </w:rPr>
        <w:t xml:space="preserve"> у методології досліджень інженерних мереж. </w:t>
      </w:r>
      <w:r w:rsidRPr="00A903E4">
        <w:rPr>
          <w:rFonts w:eastAsia="Calibri"/>
          <w:i/>
          <w:sz w:val="18"/>
          <w:szCs w:val="18"/>
          <w:lang w:val="uk-UA"/>
        </w:rPr>
        <w:t>Сучасні технології та методи розрахунків у будівництві</w:t>
      </w:r>
      <w:r w:rsidRPr="00A903E4">
        <w:rPr>
          <w:rFonts w:eastAsia="Calibri"/>
          <w:sz w:val="18"/>
          <w:szCs w:val="18"/>
          <w:lang w:val="uk-UA"/>
        </w:rPr>
        <w:t xml:space="preserve">, 2024, 21, 207-215. </w:t>
      </w:r>
      <w:hyperlink r:id="rId13" w:history="1">
        <w:r w:rsidRPr="00A903E4">
          <w:rPr>
            <w:rStyle w:val="a3"/>
            <w:rFonts w:eastAsia="Calibri"/>
            <w:sz w:val="18"/>
            <w:szCs w:val="18"/>
            <w:lang w:val="uk-UA"/>
          </w:rPr>
          <w:t>https://doi.org/10.36910/6775-2410-6208-2024-11(21)-22</w:t>
        </w:r>
      </w:hyperlink>
      <w:r w:rsidRPr="00A903E4">
        <w:rPr>
          <w:rFonts w:eastAsia="Calibri"/>
          <w:sz w:val="18"/>
          <w:szCs w:val="18"/>
          <w:lang w:val="uk-UA"/>
        </w:rPr>
        <w:t xml:space="preserve"> . </w:t>
      </w:r>
      <w:r w:rsidR="00304EF9" w:rsidRPr="00304EF9">
        <w:rPr>
          <w:rFonts w:eastAsia="Calibri"/>
          <w:b/>
          <w:sz w:val="18"/>
          <w:szCs w:val="18"/>
          <w:lang w:val="uk-UA"/>
        </w:rPr>
        <w:t>3</w:t>
      </w:r>
      <w:r w:rsidR="00304EF9">
        <w:rPr>
          <w:rFonts w:eastAsia="Calibri"/>
          <w:sz w:val="18"/>
          <w:szCs w:val="18"/>
          <w:lang w:val="uk-UA"/>
        </w:rPr>
        <w:t xml:space="preserve">. </w:t>
      </w:r>
      <w:r w:rsidR="00304EF9" w:rsidRPr="00304EF9">
        <w:rPr>
          <w:rFonts w:eastAsia="Calibri"/>
          <w:sz w:val="18"/>
          <w:szCs w:val="18"/>
          <w:lang w:val="uk-UA"/>
        </w:rPr>
        <w:t xml:space="preserve">Синій С.В., </w:t>
      </w:r>
      <w:proofErr w:type="spellStart"/>
      <w:r w:rsidR="00304EF9" w:rsidRPr="00304EF9">
        <w:rPr>
          <w:rFonts w:eastAsia="Calibri"/>
          <w:sz w:val="18"/>
          <w:szCs w:val="18"/>
          <w:lang w:val="uk-UA"/>
        </w:rPr>
        <w:t>Крантовська</w:t>
      </w:r>
      <w:proofErr w:type="spellEnd"/>
      <w:r w:rsidR="00304EF9" w:rsidRPr="00304EF9">
        <w:rPr>
          <w:rFonts w:eastAsia="Calibri"/>
          <w:sz w:val="18"/>
          <w:szCs w:val="18"/>
          <w:lang w:val="uk-UA"/>
        </w:rPr>
        <w:t xml:space="preserve"> О.М., </w:t>
      </w:r>
      <w:proofErr w:type="spellStart"/>
      <w:r w:rsidR="00304EF9" w:rsidRPr="00304EF9">
        <w:rPr>
          <w:rFonts w:eastAsia="Calibri"/>
          <w:sz w:val="18"/>
          <w:szCs w:val="18"/>
          <w:lang w:val="uk-UA"/>
        </w:rPr>
        <w:t>Ксьоншкевич</w:t>
      </w:r>
      <w:proofErr w:type="spellEnd"/>
      <w:r w:rsidR="00304EF9" w:rsidRPr="00304EF9">
        <w:rPr>
          <w:rFonts w:eastAsia="Calibri"/>
          <w:sz w:val="18"/>
          <w:szCs w:val="18"/>
          <w:lang w:val="uk-UA"/>
        </w:rPr>
        <w:t xml:space="preserve"> Л.М. </w:t>
      </w:r>
      <w:r w:rsidR="00304EF9" w:rsidRPr="00982323">
        <w:rPr>
          <w:rFonts w:eastAsia="Calibri"/>
          <w:sz w:val="18"/>
          <w:szCs w:val="18"/>
          <w:lang w:val="uk-UA"/>
        </w:rPr>
        <w:t xml:space="preserve">та ін. </w:t>
      </w:r>
      <w:r w:rsidR="00304EF9" w:rsidRPr="00304EF9">
        <w:rPr>
          <w:rFonts w:eastAsia="Calibri"/>
          <w:sz w:val="18"/>
          <w:szCs w:val="18"/>
          <w:lang w:val="uk-UA"/>
        </w:rPr>
        <w:t xml:space="preserve">Роль інформаційно-комунікаційних технологій у методології досліджень об’єктів будівництва. </w:t>
      </w:r>
      <w:r w:rsidR="00304EF9" w:rsidRPr="00304EF9">
        <w:rPr>
          <w:rFonts w:eastAsia="Calibri"/>
          <w:i/>
          <w:sz w:val="18"/>
          <w:szCs w:val="18"/>
          <w:lang w:val="uk-UA"/>
        </w:rPr>
        <w:t>Сучасні технології та методи розрахунків у будівництві</w:t>
      </w:r>
      <w:r w:rsidR="00304EF9">
        <w:rPr>
          <w:rFonts w:eastAsia="Calibri"/>
          <w:i/>
          <w:sz w:val="18"/>
          <w:szCs w:val="18"/>
          <w:lang w:val="uk-UA"/>
        </w:rPr>
        <w:t>,</w:t>
      </w:r>
      <w:r w:rsidR="00304EF9" w:rsidRPr="00304EF9">
        <w:rPr>
          <w:rFonts w:eastAsia="Calibri"/>
          <w:sz w:val="18"/>
          <w:szCs w:val="18"/>
          <w:lang w:val="uk-UA"/>
        </w:rPr>
        <w:t xml:space="preserve"> 2024, 21</w:t>
      </w:r>
      <w:r w:rsidR="00304EF9">
        <w:rPr>
          <w:rFonts w:eastAsia="Calibri"/>
          <w:sz w:val="18"/>
          <w:szCs w:val="18"/>
          <w:lang w:val="uk-UA"/>
        </w:rPr>
        <w:t xml:space="preserve">, </w:t>
      </w:r>
      <w:r w:rsidR="00304EF9" w:rsidRPr="00304EF9">
        <w:rPr>
          <w:rFonts w:eastAsia="Calibri"/>
          <w:sz w:val="18"/>
          <w:szCs w:val="18"/>
          <w:lang w:val="uk-UA"/>
        </w:rPr>
        <w:t xml:space="preserve">198-206. </w:t>
      </w:r>
      <w:hyperlink r:id="rId14" w:history="1">
        <w:r w:rsidR="00304EF9" w:rsidRPr="003249EF">
          <w:rPr>
            <w:rStyle w:val="a3"/>
            <w:rFonts w:eastAsia="Calibri"/>
            <w:sz w:val="18"/>
            <w:szCs w:val="18"/>
            <w:lang w:val="uk-UA"/>
          </w:rPr>
          <w:t>https://doi.org/10.36910/6775-2410-6208-2024-11(21)-21</w:t>
        </w:r>
      </w:hyperlink>
      <w:r w:rsidR="00304EF9">
        <w:rPr>
          <w:rFonts w:eastAsia="Calibri"/>
          <w:sz w:val="18"/>
          <w:szCs w:val="18"/>
          <w:lang w:val="uk-UA"/>
        </w:rPr>
        <w:t xml:space="preserve"> .</w:t>
      </w:r>
      <w:r w:rsidR="00304EF9" w:rsidRPr="00304EF9">
        <w:rPr>
          <w:rFonts w:eastAsia="Calibri"/>
          <w:sz w:val="18"/>
          <w:szCs w:val="18"/>
          <w:lang w:val="uk-UA"/>
        </w:rPr>
        <w:t xml:space="preserve"> </w:t>
      </w:r>
    </w:p>
    <w:sectPr w:rsidR="00B829DE" w:rsidSect="00CD2CA8">
      <w:headerReference w:type="default" r:id="rId15"/>
      <w:pgSz w:w="8392" w:h="11907" w:code="11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A9EAA4" w14:textId="77777777" w:rsidR="00D37DFD" w:rsidRDefault="00D37DFD" w:rsidP="00706F17">
      <w:r>
        <w:separator/>
      </w:r>
    </w:p>
  </w:endnote>
  <w:endnote w:type="continuationSeparator" w:id="0">
    <w:p w14:paraId="1B07BFC4" w14:textId="77777777" w:rsidR="00D37DFD" w:rsidRDefault="00D37DFD" w:rsidP="00706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56FD2E" w14:textId="77777777" w:rsidR="00D37DFD" w:rsidRDefault="00D37DFD" w:rsidP="00706F17">
      <w:r>
        <w:separator/>
      </w:r>
    </w:p>
  </w:footnote>
  <w:footnote w:type="continuationSeparator" w:id="0">
    <w:p w14:paraId="152245BB" w14:textId="77777777" w:rsidR="00D37DFD" w:rsidRDefault="00D37DFD" w:rsidP="00706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90EC2A" w14:textId="77777777" w:rsidR="00921661" w:rsidRPr="00B66905" w:rsidRDefault="00921661" w:rsidP="00B6690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D21BE"/>
    <w:multiLevelType w:val="hybridMultilevel"/>
    <w:tmpl w:val="DE82A026"/>
    <w:lvl w:ilvl="0" w:tplc="A900D716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13AFE"/>
    <w:multiLevelType w:val="multilevel"/>
    <w:tmpl w:val="CC1A8F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3115FE"/>
    <w:multiLevelType w:val="hybridMultilevel"/>
    <w:tmpl w:val="FADE9ADC"/>
    <w:lvl w:ilvl="0" w:tplc="35B0267E">
      <w:start w:val="50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57BD29A0"/>
    <w:multiLevelType w:val="hybridMultilevel"/>
    <w:tmpl w:val="9118DCFC"/>
    <w:lvl w:ilvl="0" w:tplc="76342F0A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3C581F"/>
    <w:multiLevelType w:val="hybridMultilevel"/>
    <w:tmpl w:val="D280FFC8"/>
    <w:lvl w:ilvl="0" w:tplc="EFC2724C">
      <w:start w:val="1"/>
      <w:numFmt w:val="decimal"/>
      <w:lvlText w:val="%1."/>
      <w:lvlJc w:val="left"/>
      <w:pPr>
        <w:ind w:left="426" w:hanging="360"/>
      </w:pPr>
      <w:rPr>
        <w:rFonts w:hint="default"/>
        <w:b w:val="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146" w:hanging="360"/>
      </w:pPr>
    </w:lvl>
    <w:lvl w:ilvl="2" w:tplc="0422001B" w:tentative="1">
      <w:start w:val="1"/>
      <w:numFmt w:val="lowerRoman"/>
      <w:lvlText w:val="%3."/>
      <w:lvlJc w:val="right"/>
      <w:pPr>
        <w:ind w:left="1866" w:hanging="180"/>
      </w:pPr>
    </w:lvl>
    <w:lvl w:ilvl="3" w:tplc="0422000F" w:tentative="1">
      <w:start w:val="1"/>
      <w:numFmt w:val="decimal"/>
      <w:lvlText w:val="%4."/>
      <w:lvlJc w:val="left"/>
      <w:pPr>
        <w:ind w:left="2586" w:hanging="360"/>
      </w:pPr>
    </w:lvl>
    <w:lvl w:ilvl="4" w:tplc="04220019" w:tentative="1">
      <w:start w:val="1"/>
      <w:numFmt w:val="lowerLetter"/>
      <w:lvlText w:val="%5."/>
      <w:lvlJc w:val="left"/>
      <w:pPr>
        <w:ind w:left="3306" w:hanging="360"/>
      </w:pPr>
    </w:lvl>
    <w:lvl w:ilvl="5" w:tplc="0422001B" w:tentative="1">
      <w:start w:val="1"/>
      <w:numFmt w:val="lowerRoman"/>
      <w:lvlText w:val="%6."/>
      <w:lvlJc w:val="right"/>
      <w:pPr>
        <w:ind w:left="4026" w:hanging="180"/>
      </w:pPr>
    </w:lvl>
    <w:lvl w:ilvl="6" w:tplc="0422000F" w:tentative="1">
      <w:start w:val="1"/>
      <w:numFmt w:val="decimal"/>
      <w:lvlText w:val="%7."/>
      <w:lvlJc w:val="left"/>
      <w:pPr>
        <w:ind w:left="4746" w:hanging="360"/>
      </w:pPr>
    </w:lvl>
    <w:lvl w:ilvl="7" w:tplc="04220019" w:tentative="1">
      <w:start w:val="1"/>
      <w:numFmt w:val="lowerLetter"/>
      <w:lvlText w:val="%8."/>
      <w:lvlJc w:val="left"/>
      <w:pPr>
        <w:ind w:left="5466" w:hanging="360"/>
      </w:pPr>
    </w:lvl>
    <w:lvl w:ilvl="8" w:tplc="0422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7059494B"/>
    <w:multiLevelType w:val="hybridMultilevel"/>
    <w:tmpl w:val="8846826C"/>
    <w:lvl w:ilvl="0" w:tplc="807CAD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2E26A1"/>
    <w:multiLevelType w:val="hybridMultilevel"/>
    <w:tmpl w:val="506CB36A"/>
    <w:lvl w:ilvl="0" w:tplc="04190001">
      <w:start w:val="1"/>
      <w:numFmt w:val="bullet"/>
      <w:lvlText w:val=""/>
      <w:lvlJc w:val="left"/>
      <w:pPr>
        <w:tabs>
          <w:tab w:val="num" w:pos="1183"/>
        </w:tabs>
        <w:ind w:left="1183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c5d3ff,#e1e8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706"/>
    <w:rsid w:val="0000158E"/>
    <w:rsid w:val="00001F44"/>
    <w:rsid w:val="0001386B"/>
    <w:rsid w:val="000858CE"/>
    <w:rsid w:val="00086A59"/>
    <w:rsid w:val="00092609"/>
    <w:rsid w:val="000A1A8E"/>
    <w:rsid w:val="000A35E9"/>
    <w:rsid w:val="000A452E"/>
    <w:rsid w:val="000B00D1"/>
    <w:rsid w:val="000C723D"/>
    <w:rsid w:val="000D2A46"/>
    <w:rsid w:val="000D7DDD"/>
    <w:rsid w:val="000D7E72"/>
    <w:rsid w:val="000E5495"/>
    <w:rsid w:val="000E629E"/>
    <w:rsid w:val="000F0A59"/>
    <w:rsid w:val="000F3034"/>
    <w:rsid w:val="00100CFB"/>
    <w:rsid w:val="001029C6"/>
    <w:rsid w:val="00102E90"/>
    <w:rsid w:val="0011298D"/>
    <w:rsid w:val="00120B84"/>
    <w:rsid w:val="00121B5C"/>
    <w:rsid w:val="00124F01"/>
    <w:rsid w:val="001253D6"/>
    <w:rsid w:val="001518F8"/>
    <w:rsid w:val="001625BE"/>
    <w:rsid w:val="00164524"/>
    <w:rsid w:val="00165D0D"/>
    <w:rsid w:val="0016607D"/>
    <w:rsid w:val="00172025"/>
    <w:rsid w:val="001837C7"/>
    <w:rsid w:val="00183BF4"/>
    <w:rsid w:val="00187353"/>
    <w:rsid w:val="001918A6"/>
    <w:rsid w:val="001964EE"/>
    <w:rsid w:val="001A0CBA"/>
    <w:rsid w:val="001A6C87"/>
    <w:rsid w:val="001D300E"/>
    <w:rsid w:val="001D5938"/>
    <w:rsid w:val="001E535E"/>
    <w:rsid w:val="001E5CD0"/>
    <w:rsid w:val="001F428B"/>
    <w:rsid w:val="001F44F7"/>
    <w:rsid w:val="00200199"/>
    <w:rsid w:val="00201512"/>
    <w:rsid w:val="002035D0"/>
    <w:rsid w:val="002039EC"/>
    <w:rsid w:val="00205D86"/>
    <w:rsid w:val="00230229"/>
    <w:rsid w:val="00232032"/>
    <w:rsid w:val="00233C9D"/>
    <w:rsid w:val="002478A2"/>
    <w:rsid w:val="00255F43"/>
    <w:rsid w:val="002569D9"/>
    <w:rsid w:val="002602D3"/>
    <w:rsid w:val="002614CC"/>
    <w:rsid w:val="00270D03"/>
    <w:rsid w:val="00275C02"/>
    <w:rsid w:val="00285662"/>
    <w:rsid w:val="00285894"/>
    <w:rsid w:val="00285CEB"/>
    <w:rsid w:val="002B05D7"/>
    <w:rsid w:val="002B46F0"/>
    <w:rsid w:val="002C1B38"/>
    <w:rsid w:val="002C555E"/>
    <w:rsid w:val="002E43A9"/>
    <w:rsid w:val="00300C0F"/>
    <w:rsid w:val="003025E8"/>
    <w:rsid w:val="00304EF9"/>
    <w:rsid w:val="00314EF8"/>
    <w:rsid w:val="00317A7D"/>
    <w:rsid w:val="003267BC"/>
    <w:rsid w:val="00334902"/>
    <w:rsid w:val="00355239"/>
    <w:rsid w:val="0035599A"/>
    <w:rsid w:val="0035653B"/>
    <w:rsid w:val="003637D9"/>
    <w:rsid w:val="00363C2B"/>
    <w:rsid w:val="00370E74"/>
    <w:rsid w:val="00373417"/>
    <w:rsid w:val="003740DF"/>
    <w:rsid w:val="00374E07"/>
    <w:rsid w:val="00385919"/>
    <w:rsid w:val="0039402D"/>
    <w:rsid w:val="00394BE4"/>
    <w:rsid w:val="003958DE"/>
    <w:rsid w:val="003A6E12"/>
    <w:rsid w:val="003A7D57"/>
    <w:rsid w:val="003B3F4B"/>
    <w:rsid w:val="003C0376"/>
    <w:rsid w:val="003C16D9"/>
    <w:rsid w:val="003C2973"/>
    <w:rsid w:val="003C6836"/>
    <w:rsid w:val="003F7E66"/>
    <w:rsid w:val="0040655C"/>
    <w:rsid w:val="00407365"/>
    <w:rsid w:val="00414DB7"/>
    <w:rsid w:val="004229FA"/>
    <w:rsid w:val="00425A36"/>
    <w:rsid w:val="004338F5"/>
    <w:rsid w:val="00447B81"/>
    <w:rsid w:val="0045314F"/>
    <w:rsid w:val="0047265D"/>
    <w:rsid w:val="00480E0F"/>
    <w:rsid w:val="00482897"/>
    <w:rsid w:val="00491A3A"/>
    <w:rsid w:val="004C292B"/>
    <w:rsid w:val="004D11FB"/>
    <w:rsid w:val="004D4D1F"/>
    <w:rsid w:val="004D6EDC"/>
    <w:rsid w:val="004F52EE"/>
    <w:rsid w:val="00503BEE"/>
    <w:rsid w:val="00515836"/>
    <w:rsid w:val="00521329"/>
    <w:rsid w:val="0052354B"/>
    <w:rsid w:val="00536007"/>
    <w:rsid w:val="00545312"/>
    <w:rsid w:val="005633E5"/>
    <w:rsid w:val="00563772"/>
    <w:rsid w:val="0058261C"/>
    <w:rsid w:val="0058262F"/>
    <w:rsid w:val="005849A9"/>
    <w:rsid w:val="005867A8"/>
    <w:rsid w:val="005870E0"/>
    <w:rsid w:val="005A1A9C"/>
    <w:rsid w:val="005A3EFC"/>
    <w:rsid w:val="005A6562"/>
    <w:rsid w:val="005B470E"/>
    <w:rsid w:val="005B5FC2"/>
    <w:rsid w:val="005C08EA"/>
    <w:rsid w:val="005C11AC"/>
    <w:rsid w:val="005C21F0"/>
    <w:rsid w:val="005C4F31"/>
    <w:rsid w:val="005D5EAD"/>
    <w:rsid w:val="006021F9"/>
    <w:rsid w:val="00624C5F"/>
    <w:rsid w:val="00627F46"/>
    <w:rsid w:val="00643207"/>
    <w:rsid w:val="0064427B"/>
    <w:rsid w:val="00646642"/>
    <w:rsid w:val="00647706"/>
    <w:rsid w:val="00651CCE"/>
    <w:rsid w:val="00654286"/>
    <w:rsid w:val="006577CF"/>
    <w:rsid w:val="00667928"/>
    <w:rsid w:val="006753B4"/>
    <w:rsid w:val="006917F8"/>
    <w:rsid w:val="00692758"/>
    <w:rsid w:val="006B4CFF"/>
    <w:rsid w:val="006D2E93"/>
    <w:rsid w:val="006D5D38"/>
    <w:rsid w:val="006E240A"/>
    <w:rsid w:val="006F45A6"/>
    <w:rsid w:val="00704122"/>
    <w:rsid w:val="0070484D"/>
    <w:rsid w:val="00706F17"/>
    <w:rsid w:val="00732027"/>
    <w:rsid w:val="007343A3"/>
    <w:rsid w:val="007421CB"/>
    <w:rsid w:val="007443CC"/>
    <w:rsid w:val="00744BCE"/>
    <w:rsid w:val="007469F9"/>
    <w:rsid w:val="007534A2"/>
    <w:rsid w:val="00755AC6"/>
    <w:rsid w:val="00760A60"/>
    <w:rsid w:val="00760F98"/>
    <w:rsid w:val="007620CD"/>
    <w:rsid w:val="00764BB0"/>
    <w:rsid w:val="007766A3"/>
    <w:rsid w:val="007769BA"/>
    <w:rsid w:val="007A0D26"/>
    <w:rsid w:val="007A2BAB"/>
    <w:rsid w:val="007A3FB3"/>
    <w:rsid w:val="007A7E08"/>
    <w:rsid w:val="007B0CA5"/>
    <w:rsid w:val="007C2543"/>
    <w:rsid w:val="007C6760"/>
    <w:rsid w:val="007D367A"/>
    <w:rsid w:val="007D4706"/>
    <w:rsid w:val="007F2DAC"/>
    <w:rsid w:val="00806CE2"/>
    <w:rsid w:val="008304B9"/>
    <w:rsid w:val="008363A7"/>
    <w:rsid w:val="00843A9F"/>
    <w:rsid w:val="008532C3"/>
    <w:rsid w:val="008557CF"/>
    <w:rsid w:val="00866F04"/>
    <w:rsid w:val="00871415"/>
    <w:rsid w:val="0087480F"/>
    <w:rsid w:val="00877D8F"/>
    <w:rsid w:val="00881082"/>
    <w:rsid w:val="008846DD"/>
    <w:rsid w:val="008910B5"/>
    <w:rsid w:val="008A22BA"/>
    <w:rsid w:val="008A2758"/>
    <w:rsid w:val="008A5EA6"/>
    <w:rsid w:val="008A7085"/>
    <w:rsid w:val="008A7D8B"/>
    <w:rsid w:val="008D586E"/>
    <w:rsid w:val="008E6179"/>
    <w:rsid w:val="008F2F1E"/>
    <w:rsid w:val="008F6B20"/>
    <w:rsid w:val="00902FFA"/>
    <w:rsid w:val="009064C3"/>
    <w:rsid w:val="00910C5C"/>
    <w:rsid w:val="00920006"/>
    <w:rsid w:val="0092081E"/>
    <w:rsid w:val="00921661"/>
    <w:rsid w:val="00922568"/>
    <w:rsid w:val="00950B0E"/>
    <w:rsid w:val="00954F38"/>
    <w:rsid w:val="00982323"/>
    <w:rsid w:val="00983F96"/>
    <w:rsid w:val="0098400F"/>
    <w:rsid w:val="009B367D"/>
    <w:rsid w:val="009D1EC0"/>
    <w:rsid w:val="009D1F2E"/>
    <w:rsid w:val="009E5F2B"/>
    <w:rsid w:val="009E658D"/>
    <w:rsid w:val="00A02C06"/>
    <w:rsid w:val="00A05D06"/>
    <w:rsid w:val="00A129F8"/>
    <w:rsid w:val="00A1381D"/>
    <w:rsid w:val="00A16F8B"/>
    <w:rsid w:val="00A37B9D"/>
    <w:rsid w:val="00A60F02"/>
    <w:rsid w:val="00A62746"/>
    <w:rsid w:val="00A650FD"/>
    <w:rsid w:val="00A66A38"/>
    <w:rsid w:val="00A679D3"/>
    <w:rsid w:val="00A903E4"/>
    <w:rsid w:val="00A9612F"/>
    <w:rsid w:val="00A973E6"/>
    <w:rsid w:val="00AA5A33"/>
    <w:rsid w:val="00AA7535"/>
    <w:rsid w:val="00AB2AEC"/>
    <w:rsid w:val="00AB2EFC"/>
    <w:rsid w:val="00AB6D2A"/>
    <w:rsid w:val="00AB6EEA"/>
    <w:rsid w:val="00AB78A7"/>
    <w:rsid w:val="00AC2427"/>
    <w:rsid w:val="00AC6E6B"/>
    <w:rsid w:val="00AC7C51"/>
    <w:rsid w:val="00AF1D8A"/>
    <w:rsid w:val="00AF3A67"/>
    <w:rsid w:val="00B1235E"/>
    <w:rsid w:val="00B1400E"/>
    <w:rsid w:val="00B158D9"/>
    <w:rsid w:val="00B17C68"/>
    <w:rsid w:val="00B20297"/>
    <w:rsid w:val="00B223CA"/>
    <w:rsid w:val="00B27DD2"/>
    <w:rsid w:val="00B315DE"/>
    <w:rsid w:val="00B32CBC"/>
    <w:rsid w:val="00B4116A"/>
    <w:rsid w:val="00B4174C"/>
    <w:rsid w:val="00B46586"/>
    <w:rsid w:val="00B61025"/>
    <w:rsid w:val="00B62BEA"/>
    <w:rsid w:val="00B66905"/>
    <w:rsid w:val="00B6732B"/>
    <w:rsid w:val="00B7012E"/>
    <w:rsid w:val="00B771AA"/>
    <w:rsid w:val="00B77470"/>
    <w:rsid w:val="00B829DE"/>
    <w:rsid w:val="00B867E9"/>
    <w:rsid w:val="00B946A7"/>
    <w:rsid w:val="00BB2FEE"/>
    <w:rsid w:val="00BB4E91"/>
    <w:rsid w:val="00BB620A"/>
    <w:rsid w:val="00BD623C"/>
    <w:rsid w:val="00BE315D"/>
    <w:rsid w:val="00BE5914"/>
    <w:rsid w:val="00BF2480"/>
    <w:rsid w:val="00BF46AC"/>
    <w:rsid w:val="00C07166"/>
    <w:rsid w:val="00C20C6E"/>
    <w:rsid w:val="00C34A6C"/>
    <w:rsid w:val="00C42556"/>
    <w:rsid w:val="00C4568C"/>
    <w:rsid w:val="00C5661C"/>
    <w:rsid w:val="00C63F11"/>
    <w:rsid w:val="00C757B9"/>
    <w:rsid w:val="00C81E1A"/>
    <w:rsid w:val="00C91D12"/>
    <w:rsid w:val="00CB7EA9"/>
    <w:rsid w:val="00CC69AE"/>
    <w:rsid w:val="00CD2CA8"/>
    <w:rsid w:val="00CD6AAE"/>
    <w:rsid w:val="00D00F7D"/>
    <w:rsid w:val="00D059CE"/>
    <w:rsid w:val="00D06FED"/>
    <w:rsid w:val="00D10209"/>
    <w:rsid w:val="00D10C30"/>
    <w:rsid w:val="00D14305"/>
    <w:rsid w:val="00D1462E"/>
    <w:rsid w:val="00D162BD"/>
    <w:rsid w:val="00D31B8F"/>
    <w:rsid w:val="00D37DFD"/>
    <w:rsid w:val="00D6100E"/>
    <w:rsid w:val="00D658AD"/>
    <w:rsid w:val="00D67CED"/>
    <w:rsid w:val="00D708F6"/>
    <w:rsid w:val="00D71DE7"/>
    <w:rsid w:val="00D7709C"/>
    <w:rsid w:val="00D80E0A"/>
    <w:rsid w:val="00D863C8"/>
    <w:rsid w:val="00D90F4F"/>
    <w:rsid w:val="00D9746A"/>
    <w:rsid w:val="00DB44D6"/>
    <w:rsid w:val="00DB6122"/>
    <w:rsid w:val="00DB73C6"/>
    <w:rsid w:val="00DC4D50"/>
    <w:rsid w:val="00DD07FC"/>
    <w:rsid w:val="00DE1BDA"/>
    <w:rsid w:val="00DE7245"/>
    <w:rsid w:val="00DF02C1"/>
    <w:rsid w:val="00DF318F"/>
    <w:rsid w:val="00E101B2"/>
    <w:rsid w:val="00E10C20"/>
    <w:rsid w:val="00E152C4"/>
    <w:rsid w:val="00E2144D"/>
    <w:rsid w:val="00E250D0"/>
    <w:rsid w:val="00E40753"/>
    <w:rsid w:val="00E510DF"/>
    <w:rsid w:val="00E51934"/>
    <w:rsid w:val="00E51C31"/>
    <w:rsid w:val="00E57949"/>
    <w:rsid w:val="00E606B5"/>
    <w:rsid w:val="00E610CD"/>
    <w:rsid w:val="00E628BA"/>
    <w:rsid w:val="00E67927"/>
    <w:rsid w:val="00E73BE7"/>
    <w:rsid w:val="00E74D2A"/>
    <w:rsid w:val="00E829D7"/>
    <w:rsid w:val="00E8566B"/>
    <w:rsid w:val="00E86CB2"/>
    <w:rsid w:val="00E87E13"/>
    <w:rsid w:val="00E90C92"/>
    <w:rsid w:val="00E9379E"/>
    <w:rsid w:val="00E95E63"/>
    <w:rsid w:val="00EA1BE3"/>
    <w:rsid w:val="00EA5FCC"/>
    <w:rsid w:val="00EA69A4"/>
    <w:rsid w:val="00EB447F"/>
    <w:rsid w:val="00EC5F8C"/>
    <w:rsid w:val="00EC600E"/>
    <w:rsid w:val="00EC687E"/>
    <w:rsid w:val="00ED742F"/>
    <w:rsid w:val="00F06753"/>
    <w:rsid w:val="00F1489E"/>
    <w:rsid w:val="00F15BDC"/>
    <w:rsid w:val="00F26407"/>
    <w:rsid w:val="00F37827"/>
    <w:rsid w:val="00F70D96"/>
    <w:rsid w:val="00F725D3"/>
    <w:rsid w:val="00F73284"/>
    <w:rsid w:val="00F74498"/>
    <w:rsid w:val="00F77F82"/>
    <w:rsid w:val="00FA00AF"/>
    <w:rsid w:val="00FA12F3"/>
    <w:rsid w:val="00FA4989"/>
    <w:rsid w:val="00FA50DC"/>
    <w:rsid w:val="00FA5E94"/>
    <w:rsid w:val="00FB6C28"/>
    <w:rsid w:val="00FC7709"/>
    <w:rsid w:val="00FE26D9"/>
    <w:rsid w:val="00FE5506"/>
    <w:rsid w:val="00FF0F47"/>
    <w:rsid w:val="00FF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5d3ff,#e1e8ff"/>
    </o:shapedefaults>
    <o:shapelayout v:ext="edit">
      <o:idmap v:ext="edit" data="1"/>
    </o:shapelayout>
  </w:shapeDefaults>
  <w:decimalSymbol w:val=","/>
  <w:listSeparator w:val=";"/>
  <w14:docId w14:val="24F2E9A5"/>
  <w15:docId w15:val="{C75D8A30-FAD9-43C2-9976-837BCAA1D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B81"/>
    <w:rPr>
      <w:rFonts w:eastAsia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qFormat/>
    <w:rsid w:val="0064770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3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91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7706"/>
    <w:rPr>
      <w:rFonts w:ascii="Cambria" w:eastAsia="Times New Roman" w:hAnsi="Cambria" w:cs="Times New Roman"/>
      <w:b/>
      <w:bCs/>
      <w:i/>
      <w:iCs/>
      <w:szCs w:val="28"/>
      <w:lang w:val="ru-RU" w:eastAsia="ru-RU"/>
    </w:rPr>
  </w:style>
  <w:style w:type="character" w:styleId="a3">
    <w:name w:val="Hyperlink"/>
    <w:rsid w:val="00647706"/>
    <w:rPr>
      <w:color w:val="0000FF"/>
      <w:u w:val="single"/>
    </w:rPr>
  </w:style>
  <w:style w:type="character" w:customStyle="1" w:styleId="90">
    <w:name w:val="Заголовок 9 Знак"/>
    <w:basedOn w:val="a0"/>
    <w:link w:val="9"/>
    <w:uiPriority w:val="9"/>
    <w:semiHidden/>
    <w:rsid w:val="0038591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u-RU" w:eastAsia="ru-RU"/>
    </w:rPr>
  </w:style>
  <w:style w:type="paragraph" w:customStyle="1" w:styleId="zfr3q">
    <w:name w:val="zfr3q"/>
    <w:basedOn w:val="a"/>
    <w:rsid w:val="00385919"/>
    <w:pPr>
      <w:spacing w:before="100" w:beforeAutospacing="1" w:after="100" w:afterAutospacing="1"/>
    </w:pPr>
  </w:style>
  <w:style w:type="character" w:customStyle="1" w:styleId="1">
    <w:name w:val="Незакрита згадка1"/>
    <w:basedOn w:val="a0"/>
    <w:uiPriority w:val="99"/>
    <w:semiHidden/>
    <w:unhideWhenUsed/>
    <w:rsid w:val="008532C3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706F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06F17"/>
    <w:rPr>
      <w:rFonts w:eastAsia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706F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06F17"/>
    <w:rPr>
      <w:rFonts w:eastAsia="Times New Roman" w:cs="Times New Roman"/>
      <w:sz w:val="24"/>
      <w:szCs w:val="24"/>
      <w:lang w:val="ru-RU" w:eastAsia="ru-RU"/>
    </w:rPr>
  </w:style>
  <w:style w:type="character" w:styleId="a8">
    <w:name w:val="FollowedHyperlink"/>
    <w:basedOn w:val="a0"/>
    <w:uiPriority w:val="99"/>
    <w:semiHidden/>
    <w:unhideWhenUsed/>
    <w:rsid w:val="00D708F6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7443C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 w:eastAsia="ru-RU"/>
    </w:rPr>
  </w:style>
  <w:style w:type="paragraph" w:customStyle="1" w:styleId="cdt4ke">
    <w:name w:val="cdt4ke"/>
    <w:basedOn w:val="a"/>
    <w:rsid w:val="007443CC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D770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709C"/>
    <w:rPr>
      <w:rFonts w:ascii="Tahoma" w:eastAsia="Times New Roman" w:hAnsi="Tahoma" w:cs="Tahoma"/>
      <w:sz w:val="16"/>
      <w:szCs w:val="16"/>
      <w:lang w:val="ru-RU" w:eastAsia="ru-RU"/>
    </w:rPr>
  </w:style>
  <w:style w:type="table" w:styleId="ab">
    <w:name w:val="Table Grid"/>
    <w:basedOn w:val="a1"/>
    <w:uiPriority w:val="39"/>
    <w:rsid w:val="00E51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70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oi.org/10.36910/6775-2410-6208-2024-11(21)-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36910/6775-2410-6208-2021-6(16)-2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doi.org/10.36910/6775-2410-6208-2024-11(21)-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39FD6-011B-4B35-B374-722E2A46A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Аліна</dc:creator>
  <cp:lastModifiedBy>UserOk</cp:lastModifiedBy>
  <cp:revision>2</cp:revision>
  <cp:lastPrinted>2021-03-31T11:01:00Z</cp:lastPrinted>
  <dcterms:created xsi:type="dcterms:W3CDTF">2025-11-11T12:06:00Z</dcterms:created>
  <dcterms:modified xsi:type="dcterms:W3CDTF">2025-11-11T12:06:00Z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6007933c26a2b5a0f48a19706c37f52cb0505c9ad850dc241c8dd2aae61a0f98</vt:lpwstr>
  </property>
</Properties>
</file>