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109013C" w:rsidR="00A71978" w:rsidRPr="001811D7" w:rsidRDefault="001811D7" w:rsidP="005146FC">
      <w:pPr>
        <w:ind w:firstLine="567"/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  <w:r w:rsidRPr="001811D7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 xml:space="preserve">УДК </w:t>
      </w:r>
      <w:r w:rsidR="005146FC" w:rsidRPr="001811D7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>721</w:t>
      </w:r>
    </w:p>
    <w:p w14:paraId="00000002" w14:textId="77777777" w:rsidR="00A71978" w:rsidRPr="001811D7" w:rsidRDefault="00A71978" w:rsidP="005146FC">
      <w:pPr>
        <w:ind w:firstLine="567"/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00000003" w14:textId="33B67DE3" w:rsidR="00A71978" w:rsidRPr="001811D7" w:rsidRDefault="00936D44" w:rsidP="005146FC">
      <w:pPr>
        <w:ind w:firstLine="567"/>
        <w:jc w:val="center"/>
        <w:rPr>
          <w:rFonts w:ascii="Times New Roman" w:eastAsia="Times New Roman" w:hAnsi="Times New Roman" w:cs="Times New Roman"/>
          <w:b/>
          <w:iCs/>
          <w:sz w:val="20"/>
          <w:szCs w:val="20"/>
          <w:lang w:val="uk-UA"/>
        </w:rPr>
      </w:pPr>
      <w:r w:rsidRPr="001811D7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>Питання розвитку територіальних громад</w:t>
      </w:r>
      <w:r w:rsidR="005146FC" w:rsidRPr="001811D7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>:</w:t>
      </w:r>
      <w:r w:rsidRPr="001811D7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 xml:space="preserve"> </w:t>
      </w:r>
      <w:r w:rsidR="005146FC" w:rsidRPr="001811D7">
        <w:rPr>
          <w:rFonts w:ascii="Times New Roman" w:eastAsia="Times New Roman" w:hAnsi="Times New Roman" w:cs="Times New Roman"/>
          <w:b/>
          <w:iCs/>
          <w:sz w:val="20"/>
          <w:szCs w:val="20"/>
          <w:lang w:val="uk-UA"/>
        </w:rPr>
        <w:t>Комплексний план просторового розвитку</w:t>
      </w:r>
    </w:p>
    <w:p w14:paraId="7B08371E" w14:textId="77777777" w:rsidR="001811D7" w:rsidRPr="001811D7" w:rsidRDefault="001811D7" w:rsidP="005146FC">
      <w:pPr>
        <w:ind w:firstLine="567"/>
        <w:jc w:val="center"/>
        <w:rPr>
          <w:rFonts w:ascii="Times New Roman" w:eastAsia="Times New Roman" w:hAnsi="Times New Roman" w:cs="Times New Roman"/>
          <w:b/>
          <w:iCs/>
          <w:sz w:val="20"/>
          <w:szCs w:val="20"/>
          <w:lang w:val="uk-UA"/>
        </w:rPr>
      </w:pPr>
    </w:p>
    <w:p w14:paraId="00F8A96A" w14:textId="62950B07" w:rsidR="005146FC" w:rsidRPr="001811D7" w:rsidRDefault="005146FC" w:rsidP="005146FC">
      <w:pPr>
        <w:ind w:firstLine="567"/>
        <w:jc w:val="center"/>
        <w:rPr>
          <w:rFonts w:ascii="Times New Roman" w:eastAsia="Times New Roman" w:hAnsi="Times New Roman" w:cs="Times New Roman"/>
          <w:b/>
          <w:iCs/>
          <w:sz w:val="20"/>
          <w:szCs w:val="20"/>
          <w:lang w:val="uk-UA"/>
        </w:rPr>
      </w:pPr>
      <w:proofErr w:type="spellStart"/>
      <w:r w:rsidRPr="001811D7">
        <w:rPr>
          <w:rFonts w:ascii="Times New Roman" w:eastAsia="Times New Roman" w:hAnsi="Times New Roman" w:cs="Times New Roman"/>
          <w:b/>
          <w:iCs/>
          <w:sz w:val="20"/>
          <w:szCs w:val="20"/>
          <w:lang w:val="uk-UA"/>
        </w:rPr>
        <w:t>Issues</w:t>
      </w:r>
      <w:proofErr w:type="spellEnd"/>
      <w:r w:rsidRPr="001811D7">
        <w:rPr>
          <w:rFonts w:ascii="Times New Roman" w:eastAsia="Times New Roman" w:hAnsi="Times New Roman" w:cs="Times New Roman"/>
          <w:b/>
          <w:iCs/>
          <w:sz w:val="20"/>
          <w:szCs w:val="20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b/>
          <w:iCs/>
          <w:sz w:val="20"/>
          <w:szCs w:val="20"/>
          <w:lang w:val="uk-UA"/>
        </w:rPr>
        <w:t>of</w:t>
      </w:r>
      <w:proofErr w:type="spellEnd"/>
      <w:r w:rsidRPr="001811D7">
        <w:rPr>
          <w:rFonts w:ascii="Times New Roman" w:eastAsia="Times New Roman" w:hAnsi="Times New Roman" w:cs="Times New Roman"/>
          <w:b/>
          <w:iCs/>
          <w:sz w:val="20"/>
          <w:szCs w:val="20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b/>
          <w:iCs/>
          <w:sz w:val="20"/>
          <w:szCs w:val="20"/>
          <w:lang w:val="uk-UA"/>
        </w:rPr>
        <w:t>development</w:t>
      </w:r>
      <w:proofErr w:type="spellEnd"/>
      <w:r w:rsidRPr="001811D7">
        <w:rPr>
          <w:rFonts w:ascii="Times New Roman" w:eastAsia="Times New Roman" w:hAnsi="Times New Roman" w:cs="Times New Roman"/>
          <w:b/>
          <w:iCs/>
          <w:sz w:val="20"/>
          <w:szCs w:val="20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b/>
          <w:iCs/>
          <w:sz w:val="20"/>
          <w:szCs w:val="20"/>
          <w:lang w:val="uk-UA"/>
        </w:rPr>
        <w:t>of</w:t>
      </w:r>
      <w:proofErr w:type="spellEnd"/>
      <w:r w:rsidRPr="001811D7">
        <w:rPr>
          <w:rFonts w:ascii="Times New Roman" w:eastAsia="Times New Roman" w:hAnsi="Times New Roman" w:cs="Times New Roman"/>
          <w:b/>
          <w:iCs/>
          <w:sz w:val="20"/>
          <w:szCs w:val="20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b/>
          <w:iCs/>
          <w:sz w:val="20"/>
          <w:szCs w:val="20"/>
          <w:lang w:val="uk-UA"/>
        </w:rPr>
        <w:t>territorial</w:t>
      </w:r>
      <w:proofErr w:type="spellEnd"/>
      <w:r w:rsidRPr="001811D7">
        <w:rPr>
          <w:rFonts w:ascii="Times New Roman" w:eastAsia="Times New Roman" w:hAnsi="Times New Roman" w:cs="Times New Roman"/>
          <w:b/>
          <w:iCs/>
          <w:sz w:val="20"/>
          <w:szCs w:val="20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b/>
          <w:iCs/>
          <w:sz w:val="20"/>
          <w:szCs w:val="20"/>
          <w:lang w:val="uk-UA"/>
        </w:rPr>
        <w:t>communities</w:t>
      </w:r>
      <w:proofErr w:type="spellEnd"/>
      <w:r w:rsidRPr="001811D7">
        <w:rPr>
          <w:rFonts w:ascii="Times New Roman" w:eastAsia="Times New Roman" w:hAnsi="Times New Roman" w:cs="Times New Roman"/>
          <w:b/>
          <w:iCs/>
          <w:sz w:val="20"/>
          <w:szCs w:val="20"/>
          <w:lang w:val="uk-UA"/>
        </w:rPr>
        <w:t xml:space="preserve">: </w:t>
      </w:r>
      <w:proofErr w:type="spellStart"/>
      <w:r w:rsidRPr="001811D7">
        <w:rPr>
          <w:rFonts w:ascii="Times New Roman" w:eastAsia="Times New Roman" w:hAnsi="Times New Roman" w:cs="Times New Roman"/>
          <w:b/>
          <w:iCs/>
          <w:sz w:val="20"/>
          <w:szCs w:val="20"/>
          <w:lang w:val="uk-UA"/>
        </w:rPr>
        <w:t>Comprehensive</w:t>
      </w:r>
      <w:proofErr w:type="spellEnd"/>
      <w:r w:rsidRPr="001811D7">
        <w:rPr>
          <w:rFonts w:ascii="Times New Roman" w:eastAsia="Times New Roman" w:hAnsi="Times New Roman" w:cs="Times New Roman"/>
          <w:b/>
          <w:iCs/>
          <w:sz w:val="20"/>
          <w:szCs w:val="20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b/>
          <w:iCs/>
          <w:sz w:val="20"/>
          <w:szCs w:val="20"/>
          <w:lang w:val="uk-UA"/>
        </w:rPr>
        <w:t>spatial</w:t>
      </w:r>
      <w:proofErr w:type="spellEnd"/>
      <w:r w:rsidRPr="001811D7">
        <w:rPr>
          <w:rFonts w:ascii="Times New Roman" w:eastAsia="Times New Roman" w:hAnsi="Times New Roman" w:cs="Times New Roman"/>
          <w:b/>
          <w:iCs/>
          <w:sz w:val="20"/>
          <w:szCs w:val="20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b/>
          <w:iCs/>
          <w:sz w:val="20"/>
          <w:szCs w:val="20"/>
          <w:lang w:val="uk-UA"/>
        </w:rPr>
        <w:t>development</w:t>
      </w:r>
      <w:proofErr w:type="spellEnd"/>
      <w:r w:rsidRPr="001811D7">
        <w:rPr>
          <w:rFonts w:ascii="Times New Roman" w:eastAsia="Times New Roman" w:hAnsi="Times New Roman" w:cs="Times New Roman"/>
          <w:b/>
          <w:iCs/>
          <w:sz w:val="20"/>
          <w:szCs w:val="20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b/>
          <w:iCs/>
          <w:sz w:val="20"/>
          <w:szCs w:val="20"/>
          <w:lang w:val="uk-UA"/>
        </w:rPr>
        <w:t>plan</w:t>
      </w:r>
      <w:proofErr w:type="spellEnd"/>
    </w:p>
    <w:p w14:paraId="00000004" w14:textId="77777777" w:rsidR="00A71978" w:rsidRPr="001811D7" w:rsidRDefault="00A71978" w:rsidP="005146FC">
      <w:pPr>
        <w:ind w:firstLine="567"/>
        <w:jc w:val="both"/>
        <w:rPr>
          <w:rFonts w:ascii="Times New Roman" w:eastAsia="Times New Roman" w:hAnsi="Times New Roman" w:cs="Times New Roman"/>
          <w:bCs/>
          <w:sz w:val="20"/>
          <w:szCs w:val="20"/>
          <w:lang w:val="uk-UA"/>
        </w:rPr>
      </w:pPr>
    </w:p>
    <w:p w14:paraId="00000005" w14:textId="47FF3198" w:rsidR="00A71978" w:rsidRPr="001811D7" w:rsidRDefault="001811D7" w:rsidP="005146FC">
      <w:pPr>
        <w:ind w:firstLine="567"/>
        <w:jc w:val="both"/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  <w:r w:rsidRPr="001811D7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 xml:space="preserve">В.В. </w:t>
      </w:r>
      <w:proofErr w:type="spellStart"/>
      <w:r w:rsidRPr="001811D7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>Угроватий</w:t>
      </w:r>
      <w:proofErr w:type="spellEnd"/>
      <w:r w:rsidRPr="001811D7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>, студент, (</w:t>
      </w:r>
      <w:r w:rsidRPr="001811D7">
        <w:rPr>
          <w:rFonts w:ascii="Times New Roman" w:eastAsia="Times New Roman" w:hAnsi="Times New Roman" w:cs="Times New Roman"/>
          <w:b/>
          <w:color w:val="0A0A0A"/>
          <w:sz w:val="20"/>
          <w:szCs w:val="20"/>
          <w:highlight w:val="white"/>
          <w:lang w:val="uk-UA"/>
        </w:rPr>
        <w:t xml:space="preserve">Харківський національний університет </w:t>
      </w:r>
      <w:r w:rsidRPr="001811D7">
        <w:rPr>
          <w:rFonts w:ascii="Times New Roman" w:eastAsia="Times New Roman" w:hAnsi="Times New Roman" w:cs="Times New Roman"/>
          <w:b/>
          <w:color w:val="0A0A0A"/>
          <w:sz w:val="20"/>
          <w:szCs w:val="20"/>
          <w:highlight w:val="white"/>
          <w:lang w:val="uk-UA"/>
        </w:rPr>
        <w:t>міського господарства імені О.М. Бекетова</w:t>
      </w:r>
      <w:r w:rsidRPr="001811D7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>)</w:t>
      </w:r>
    </w:p>
    <w:p w14:paraId="00000006" w14:textId="77777777" w:rsidR="00A71978" w:rsidRPr="001811D7" w:rsidRDefault="00A71978" w:rsidP="005146FC">
      <w:pPr>
        <w:ind w:firstLine="567"/>
        <w:jc w:val="both"/>
        <w:rPr>
          <w:rFonts w:ascii="Times New Roman" w:eastAsia="Times New Roman" w:hAnsi="Times New Roman" w:cs="Times New Roman"/>
          <w:bCs/>
          <w:sz w:val="20"/>
          <w:szCs w:val="20"/>
          <w:lang w:val="uk-UA"/>
        </w:rPr>
      </w:pPr>
    </w:p>
    <w:p w14:paraId="00000007" w14:textId="30EF8ADA" w:rsidR="00A71978" w:rsidRPr="001811D7" w:rsidRDefault="001811D7" w:rsidP="005146FC">
      <w:pPr>
        <w:ind w:firstLine="567"/>
        <w:jc w:val="both"/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  <w:proofErr w:type="spellStart"/>
      <w:r w:rsidRPr="001811D7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>Vlad</w:t>
      </w:r>
      <w:proofErr w:type="spellEnd"/>
      <w:r w:rsidRPr="001811D7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>Uhrovatyi</w:t>
      </w:r>
      <w:proofErr w:type="spellEnd"/>
      <w:r w:rsidRPr="001811D7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 xml:space="preserve">, </w:t>
      </w:r>
      <w:proofErr w:type="spellStart"/>
      <w:r w:rsidRPr="001811D7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>student</w:t>
      </w:r>
      <w:proofErr w:type="spellEnd"/>
      <w:r w:rsidRPr="001811D7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 xml:space="preserve"> , (</w:t>
      </w:r>
      <w:proofErr w:type="spellStart"/>
      <w:r w:rsidRPr="001811D7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>O.M.Beketov</w:t>
      </w:r>
      <w:proofErr w:type="spellEnd"/>
      <w:r w:rsidRPr="001811D7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>National</w:t>
      </w:r>
      <w:proofErr w:type="spellEnd"/>
      <w:r w:rsidRPr="001811D7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>University</w:t>
      </w:r>
      <w:proofErr w:type="spellEnd"/>
      <w:r w:rsidRPr="001811D7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>of</w:t>
      </w:r>
      <w:proofErr w:type="spellEnd"/>
      <w:r w:rsidRPr="001811D7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>Urban</w:t>
      </w:r>
      <w:proofErr w:type="spellEnd"/>
      <w:r w:rsidRPr="001811D7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>Economy</w:t>
      </w:r>
      <w:proofErr w:type="spellEnd"/>
      <w:r w:rsidRPr="001811D7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>in</w:t>
      </w:r>
      <w:proofErr w:type="spellEnd"/>
      <w:r w:rsidRPr="001811D7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>Kharkiv</w:t>
      </w:r>
      <w:proofErr w:type="spellEnd"/>
      <w:r w:rsidRPr="001811D7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>)</w:t>
      </w:r>
    </w:p>
    <w:p w14:paraId="00000008" w14:textId="77777777" w:rsidR="00A71978" w:rsidRPr="001811D7" w:rsidRDefault="00A71978" w:rsidP="005146FC">
      <w:pPr>
        <w:ind w:firstLine="567"/>
        <w:jc w:val="both"/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00000009" w14:textId="01815456" w:rsidR="00A71978" w:rsidRPr="001811D7" w:rsidRDefault="001811D7" w:rsidP="005146FC">
      <w:pPr>
        <w:ind w:firstLine="567"/>
        <w:jc w:val="both"/>
        <w:rPr>
          <w:rFonts w:ascii="Times New Roman" w:eastAsia="Times New Roman" w:hAnsi="Times New Roman" w:cs="Times New Roman"/>
          <w:i/>
          <w:sz w:val="18"/>
          <w:szCs w:val="18"/>
          <w:lang w:val="uk-UA"/>
        </w:rPr>
      </w:pPr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Досліджено містобудівні та архітектурні аспекти</w:t>
      </w:r>
      <w:r w:rsidR="004B5933"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розвиток</w:t>
      </w:r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територіальних громад в умовах децентралізації, акцентуючи на </w:t>
      </w:r>
      <w:bookmarkStart w:id="0" w:name="_Hlk213440634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Комп</w:t>
      </w:r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лексному плані просторового розвитку</w:t>
      </w:r>
      <w:bookmarkEnd w:id="0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(КППР) як ключовому інструменті інтеграції землеустрою та функціонального зонування. </w:t>
      </w:r>
    </w:p>
    <w:p w14:paraId="00F2267B" w14:textId="77777777" w:rsidR="005146FC" w:rsidRPr="001811D7" w:rsidRDefault="005146FC" w:rsidP="005146FC">
      <w:pPr>
        <w:ind w:firstLine="567"/>
        <w:jc w:val="both"/>
        <w:rPr>
          <w:rFonts w:ascii="Times New Roman" w:eastAsia="Times New Roman" w:hAnsi="Times New Roman" w:cs="Times New Roman"/>
          <w:i/>
          <w:sz w:val="18"/>
          <w:szCs w:val="18"/>
          <w:lang w:val="uk-UA"/>
        </w:rPr>
      </w:pPr>
    </w:p>
    <w:p w14:paraId="71969255" w14:textId="207AEA1D" w:rsidR="005146FC" w:rsidRPr="001811D7" w:rsidRDefault="005146FC" w:rsidP="005146FC">
      <w:pPr>
        <w:ind w:firstLine="567"/>
        <w:jc w:val="both"/>
        <w:rPr>
          <w:rFonts w:ascii="Times New Roman" w:eastAsia="Times New Roman" w:hAnsi="Times New Roman" w:cs="Times New Roman"/>
          <w:i/>
          <w:sz w:val="18"/>
          <w:szCs w:val="18"/>
          <w:lang w:val="uk-UA"/>
        </w:rPr>
      </w:pPr>
      <w:proofErr w:type="spellStart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The</w:t>
      </w:r>
      <w:proofErr w:type="spellEnd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urban</w:t>
      </w:r>
      <w:proofErr w:type="spellEnd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planning</w:t>
      </w:r>
      <w:proofErr w:type="spellEnd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and</w:t>
      </w:r>
      <w:proofErr w:type="spellEnd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architectural</w:t>
      </w:r>
      <w:proofErr w:type="spellEnd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aspects</w:t>
      </w:r>
      <w:proofErr w:type="spellEnd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of</w:t>
      </w:r>
      <w:proofErr w:type="spellEnd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the</w:t>
      </w:r>
      <w:proofErr w:type="spellEnd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development</w:t>
      </w:r>
      <w:proofErr w:type="spellEnd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of</w:t>
      </w:r>
      <w:proofErr w:type="spellEnd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territorial</w:t>
      </w:r>
      <w:proofErr w:type="spellEnd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communities</w:t>
      </w:r>
      <w:proofErr w:type="spellEnd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under</w:t>
      </w:r>
      <w:proofErr w:type="spellEnd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decentralization</w:t>
      </w:r>
      <w:proofErr w:type="spellEnd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are</w:t>
      </w:r>
      <w:proofErr w:type="spellEnd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studied</w:t>
      </w:r>
      <w:proofErr w:type="spellEnd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, </w:t>
      </w:r>
      <w:proofErr w:type="spellStart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focusing</w:t>
      </w:r>
      <w:proofErr w:type="spellEnd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on</w:t>
      </w:r>
      <w:proofErr w:type="spellEnd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the</w:t>
      </w:r>
      <w:proofErr w:type="spellEnd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Comprehensive</w:t>
      </w:r>
      <w:proofErr w:type="spellEnd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Spatial</w:t>
      </w:r>
      <w:proofErr w:type="spellEnd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Development</w:t>
      </w:r>
      <w:proofErr w:type="spellEnd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Plan</w:t>
      </w:r>
      <w:proofErr w:type="spellEnd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(CPDP) </w:t>
      </w:r>
      <w:proofErr w:type="spellStart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as</w:t>
      </w:r>
      <w:proofErr w:type="spellEnd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a </w:t>
      </w:r>
      <w:proofErr w:type="spellStart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key</w:t>
      </w:r>
      <w:proofErr w:type="spellEnd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tool</w:t>
      </w:r>
      <w:proofErr w:type="spellEnd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for</w:t>
      </w:r>
      <w:proofErr w:type="spellEnd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integrating</w:t>
      </w:r>
      <w:proofErr w:type="spellEnd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land</w:t>
      </w:r>
      <w:proofErr w:type="spellEnd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management</w:t>
      </w:r>
      <w:proofErr w:type="spellEnd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and</w:t>
      </w:r>
      <w:proofErr w:type="spellEnd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functional</w:t>
      </w:r>
      <w:proofErr w:type="spellEnd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 xml:space="preserve"> </w:t>
      </w:r>
      <w:proofErr w:type="spellStart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zoning</w:t>
      </w:r>
      <w:proofErr w:type="spellEnd"/>
      <w:r w:rsidRPr="001811D7">
        <w:rPr>
          <w:rFonts w:ascii="Times New Roman" w:eastAsia="Times New Roman" w:hAnsi="Times New Roman" w:cs="Times New Roman"/>
          <w:i/>
          <w:sz w:val="18"/>
          <w:szCs w:val="18"/>
          <w:lang w:val="uk-UA"/>
        </w:rPr>
        <w:t>.</w:t>
      </w:r>
    </w:p>
    <w:p w14:paraId="0000000A" w14:textId="77777777" w:rsidR="00A71978" w:rsidRPr="001811D7" w:rsidRDefault="00A71978" w:rsidP="005146FC">
      <w:pPr>
        <w:ind w:firstLine="567"/>
        <w:jc w:val="both"/>
        <w:rPr>
          <w:rFonts w:ascii="Times New Roman" w:eastAsia="Times New Roman" w:hAnsi="Times New Roman" w:cs="Times New Roman"/>
          <w:i/>
          <w:sz w:val="18"/>
          <w:szCs w:val="18"/>
          <w:lang w:val="uk-UA"/>
        </w:rPr>
      </w:pPr>
    </w:p>
    <w:p w14:paraId="0000000B" w14:textId="77777777" w:rsidR="00A71978" w:rsidRPr="001811D7" w:rsidRDefault="001811D7" w:rsidP="005146FC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Реформа децентралізації в Україні кардинально трансформувала систему територіального управління, визначивши </w:t>
      </w:r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>територіальну громаду (ТГ) ключовим суб'єктом стратегічного та просторового планування. Це зумовило необхідність переходу від традиційного, фрагментарного регулювання до комплексного інтегрованого підходу, здатного забезпечити збалансоване поєднання економ</w:t>
      </w:r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>ічних, соціальних та екологічних імперативів. Актуальність дослідження містобудівних та архітектурних аспектів полягає у необхідності розробки ефективних механізмів впровадження Комплексного плану просторового розвитку (КППР), який вперше об'єднує містобуд</w:t>
      </w:r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>івну та землевпорядну документацію.</w:t>
      </w:r>
    </w:p>
    <w:p w14:paraId="0000000D" w14:textId="59F7A411" w:rsidR="00A71978" w:rsidRPr="001811D7" w:rsidRDefault="001811D7" w:rsidP="005146FC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Просторове планування є ключовим інструментом управління розвитком, що забезпечує формування комфортного середовища на засадах сталого розвитку, </w:t>
      </w:r>
      <w:r w:rsidR="004B5933"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>гармонізуючи</w:t>
      </w:r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економічні, соціальні та екологічні складові. Містобудування о</w:t>
      </w:r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>хоплює широкий спектр взаємопов'язаних завдань -</w:t>
      </w:r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від раціонального освоєння ресурсів та організації інженерно-технічної інфраструктури до створення сприятливих санітарно-гігієнічних </w:t>
      </w:r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lastRenderedPageBreak/>
        <w:t xml:space="preserve">умов та архітектурно-просторових ансамблів. </w:t>
      </w:r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>Комплексний план просторового</w:t>
      </w:r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розвитку </w:t>
      </w:r>
      <w:r w:rsidR="004B5933"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>охоплює і</w:t>
      </w:r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планувальну організацію, </w:t>
      </w:r>
      <w:r w:rsidR="004B5933"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і </w:t>
      </w:r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функціональне призначення території, </w:t>
      </w:r>
      <w:r w:rsidR="004B5933"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і </w:t>
      </w:r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принципи формування єдиної системи громадського обслуговування, </w:t>
      </w:r>
      <w:r w:rsidR="004B5933"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>і</w:t>
      </w:r>
      <w:r w:rsidR="00936D44"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</w:t>
      </w:r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інженерно-транспортної інфраструктури, </w:t>
      </w:r>
      <w:r w:rsidR="004B5933"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і </w:t>
      </w:r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>заходи цивільного захисту, а також охорони земель та культурної</w:t>
      </w:r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спадщини. </w:t>
      </w:r>
      <w:proofErr w:type="spellStart"/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>Проєктні</w:t>
      </w:r>
      <w:proofErr w:type="spellEnd"/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рішення повинні узгоджуватися за принципами «зверху вниз», «знизу вверх» та «по горизонталі» з громадами.</w:t>
      </w:r>
    </w:p>
    <w:p w14:paraId="0000000E" w14:textId="16BF53CC" w:rsidR="00A71978" w:rsidRPr="001811D7" w:rsidRDefault="001811D7" w:rsidP="005146FC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>Еколого-ландшафтний імператив є критичним з огляду на зростання гостроти екологічних проблем. Впровадження ландшафтного планування</w:t>
      </w:r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, що ґрунтується на системно-синергетичному світогляді, дозволяє розглядати ландшафт як природно-господарську територіальну систему . У практиці застосовуються екологічні моделі (Ф. </w:t>
      </w:r>
      <w:proofErr w:type="spellStart"/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>Штайнера</w:t>
      </w:r>
      <w:proofErr w:type="spellEnd"/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, К. </w:t>
      </w:r>
      <w:proofErr w:type="spellStart"/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>Стейніца</w:t>
      </w:r>
      <w:proofErr w:type="spellEnd"/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, </w:t>
      </w:r>
      <w:proofErr w:type="spellStart"/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>Дж</w:t>
      </w:r>
      <w:proofErr w:type="spellEnd"/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. </w:t>
      </w:r>
      <w:proofErr w:type="spellStart"/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>Агерна</w:t>
      </w:r>
      <w:proofErr w:type="spellEnd"/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>), які орієнтовані на визначення оптималь</w:t>
      </w:r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них типів землекористування із залученням громадськості. Кінцевою метою є </w:t>
      </w:r>
      <w:proofErr w:type="spellStart"/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>коадаптивна</w:t>
      </w:r>
      <w:proofErr w:type="spellEnd"/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концепція землекористування, що забезпечує узгодження економічної підсистеми з природною сумісністю ландшафту. Архітектурно-планувальний контекст є фундаментальним у форм</w:t>
      </w:r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>уванні міської ідентичності, яка є вирішальним чинником розвитку. Фізичні компоненти середовища є первинними елементами ідентифікації. У сучасних умовах збереження унікальності досягається ефективним плануванням, що інтегрує історичні аспекти з потребою ст</w:t>
      </w:r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ворення </w:t>
      </w:r>
      <w:proofErr w:type="spellStart"/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>поліфункціональних</w:t>
      </w:r>
      <w:proofErr w:type="spellEnd"/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громадських об'єктів для забезпечення самоврядування та обслуговування населення.</w:t>
      </w:r>
    </w:p>
    <w:p w14:paraId="0000000F" w14:textId="1512BE96" w:rsidR="00A71978" w:rsidRPr="001811D7" w:rsidRDefault="001811D7" w:rsidP="005146FC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proofErr w:type="spellStart"/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>Цифровізація</w:t>
      </w:r>
      <w:proofErr w:type="spellEnd"/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є обов'язковою: Геоінформаційні системи (ГІС) визнані безальтернативним інструментом для автоматизації аналізу та прогнозування. Місто</w:t>
      </w:r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будівна документація розробляється виключно в електронному вигляді, на оновленій картографічній основі в системі УСК-2000. Містобудівний кадастр виступає ключовою системою зберігання </w:t>
      </w:r>
      <w:proofErr w:type="spellStart"/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>геопросторових</w:t>
      </w:r>
      <w:proofErr w:type="spellEnd"/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даних, що ведеться з урахуванням Державного земельного кад</w:t>
      </w:r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>астру (ДЗК)</w:t>
      </w:r>
      <w:r w:rsidR="00936D44"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та регулюється </w:t>
      </w:r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>Закон</w:t>
      </w:r>
      <w:r w:rsidR="00936D44"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>ом</w:t>
      </w:r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України «Про регулювання містобудівної діяльності».</w:t>
      </w:r>
    </w:p>
    <w:p w14:paraId="00000016" w14:textId="09274EBA" w:rsidR="00A71978" w:rsidRPr="001811D7" w:rsidRDefault="001811D7" w:rsidP="005146FC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>Успішна реалізація потенціалу територіальних громад безпосередньо залежить від якості та інтеграції їхніх містобудівних та архітектурних рішень. Впровадження КППР забезп</w:t>
      </w:r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>ечує необхідну правову та планувальну синергію між землекористуванням та функціональним зонуванням, створюючи цілісну систему управління територією. Застосування еколого-ландшафтного планування є критичним для досягнення адаптивної стійкості ПГТС. Водночас</w:t>
      </w:r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, архітектурний контекст, підсилений принципами сталості та </w:t>
      </w:r>
      <w:proofErr w:type="spellStart"/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>інклюзивності</w:t>
      </w:r>
      <w:proofErr w:type="spellEnd"/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>, є визначальним для формування унікальної міської ідентичності та підвищення соціальної згуртованості. Таким чином, ключові містобудівні та архітектурні аспекти ТГ зосереджені на ефе</w:t>
      </w:r>
      <w:r w:rsidRPr="001811D7">
        <w:rPr>
          <w:rFonts w:ascii="Times New Roman" w:eastAsia="Times New Roman" w:hAnsi="Times New Roman" w:cs="Times New Roman"/>
          <w:sz w:val="20"/>
          <w:szCs w:val="20"/>
          <w:lang w:val="uk-UA"/>
        </w:rPr>
        <w:t>ктивному використанні ГІС-технологій та нормативної бази для створення комфортного, безпечного та економічно життєздатного середовища.</w:t>
      </w:r>
    </w:p>
    <w:sectPr w:rsidR="00A71978" w:rsidRPr="001811D7" w:rsidSect="005146FC">
      <w:pgSz w:w="8391" w:h="11906"/>
      <w:pgMar w:top="964" w:right="964" w:bottom="964" w:left="96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3EF09D0-F8A0-4839-856D-85C9EFEFED5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8EA6313C-06B8-4D6B-A4DE-C1CD6369C3A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01AB1"/>
    <w:multiLevelType w:val="multilevel"/>
    <w:tmpl w:val="58D2E8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978"/>
    <w:rsid w:val="001811D7"/>
    <w:rsid w:val="002004D2"/>
    <w:rsid w:val="00347EA3"/>
    <w:rsid w:val="004B5933"/>
    <w:rsid w:val="005146FC"/>
    <w:rsid w:val="00936D44"/>
    <w:rsid w:val="00A71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E6783"/>
  <w15:docId w15:val="{DC45D515-73FA-4E7F-B978-2BCAB4D59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uk" w:eastAsia="uk-UA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702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UserOk</dc:creator>
  <cp:lastModifiedBy>UserOk</cp:lastModifiedBy>
  <cp:revision>2</cp:revision>
  <dcterms:created xsi:type="dcterms:W3CDTF">2025-11-13T12:17:00Z</dcterms:created>
  <dcterms:modified xsi:type="dcterms:W3CDTF">2025-11-13T12:17:00Z</dcterms:modified>
</cp:coreProperties>
</file>