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2974" w14:textId="3D7A5B00" w:rsidR="003162CF" w:rsidRDefault="003162CF" w:rsidP="00E7783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5E7BC3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УДК </w:t>
      </w:r>
      <w:r w:rsidRPr="00B02615">
        <w:rPr>
          <w:rFonts w:ascii="Times New Roman" w:hAnsi="Times New Roman" w:cs="Times New Roman"/>
          <w:b/>
          <w:bCs/>
          <w:sz w:val="20"/>
          <w:szCs w:val="20"/>
          <w:lang w:val="uk-UA"/>
        </w:rPr>
        <w:t>7</w:t>
      </w:r>
      <w:r w:rsidR="005E7BC3" w:rsidRPr="00B02615">
        <w:rPr>
          <w:rFonts w:ascii="Times New Roman" w:hAnsi="Times New Roman" w:cs="Times New Roman"/>
          <w:b/>
          <w:bCs/>
          <w:sz w:val="20"/>
          <w:szCs w:val="20"/>
          <w:lang w:val="uk-UA"/>
        </w:rPr>
        <w:t>2.01</w:t>
      </w:r>
    </w:p>
    <w:p w14:paraId="04757D5F" w14:textId="09F1A2F1" w:rsidR="00921C61" w:rsidRDefault="00921C61" w:rsidP="00E7783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Перспективні тенденції</w:t>
      </w:r>
      <w:r w:rsidR="001C5D9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2114B2"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розвитку</w:t>
      </w:r>
      <w:r w:rsidR="001C5D9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архітектури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торговельно-розважальних центрів</w:t>
      </w:r>
    </w:p>
    <w:p w14:paraId="774CC91E" w14:textId="1604A004" w:rsidR="003162CF" w:rsidRDefault="003162CF" w:rsidP="001E28B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Promising trends in the </w:t>
      </w:r>
      <w:r w:rsidR="002114B2">
        <w:rPr>
          <w:rFonts w:ascii="Times New Roman" w:hAnsi="Times New Roman" w:cs="Times New Roman"/>
          <w:b/>
          <w:bCs/>
          <w:sz w:val="20"/>
          <w:szCs w:val="20"/>
          <w:lang w:val="en-US"/>
        </w:rPr>
        <w:t>evolution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of the architecture of shopping and retail centers</w:t>
      </w:r>
    </w:p>
    <w:p w14:paraId="1D714E82" w14:textId="383DC6A4" w:rsidR="00E77836" w:rsidRPr="008B3D48" w:rsidRDefault="00E77836" w:rsidP="00BC0BC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Белінський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Є.А,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магістр,</w:t>
      </w:r>
      <w:r w:rsidR="002C763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(Харківський національний університет міського господарства імені О.М. Бекетова) </w:t>
      </w:r>
      <w:r w:rsidR="002C7639">
        <w:rPr>
          <w:rFonts w:ascii="Times New Roman" w:hAnsi="Times New Roman" w:cs="Times New Roman"/>
          <w:b/>
          <w:bCs/>
          <w:sz w:val="20"/>
          <w:szCs w:val="20"/>
          <w:lang w:val="uk-UA"/>
        </w:rPr>
        <w:t>к. арх.</w:t>
      </w:r>
      <w:r w:rsidR="00B02615">
        <w:rPr>
          <w:rFonts w:ascii="Times New Roman" w:hAnsi="Times New Roman" w:cs="Times New Roman"/>
          <w:b/>
          <w:bCs/>
          <w:sz w:val="20"/>
          <w:szCs w:val="20"/>
          <w:lang w:val="uk-UA"/>
        </w:rPr>
        <w:t>,</w:t>
      </w:r>
      <w:r w:rsidR="002C763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доц. Дудка О.М, ст. викл.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2C7639">
        <w:rPr>
          <w:rFonts w:ascii="Times New Roman" w:hAnsi="Times New Roman" w:cs="Times New Roman"/>
          <w:b/>
          <w:bCs/>
          <w:sz w:val="20"/>
          <w:szCs w:val="20"/>
          <w:lang w:val="uk-UA"/>
        </w:rPr>
        <w:t>Сільвестрова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Н.П.</w:t>
      </w:r>
    </w:p>
    <w:p w14:paraId="1C8B5432" w14:textId="414D918D" w:rsidR="00E77836" w:rsidRPr="008B3D48" w:rsidRDefault="002C7639" w:rsidP="00BC0BC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Belinskii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en-US"/>
        </w:rPr>
        <w:t>Y</w:t>
      </w:r>
      <w:r w:rsidR="00030F0F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>,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en-US"/>
        </w:rPr>
        <w:t>master’s degree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uk-UA"/>
        </w:rPr>
        <w:t>, (</w:t>
      </w:r>
      <w:r w:rsidR="001E28B7">
        <w:rPr>
          <w:rFonts w:ascii="Times New Roman" w:hAnsi="Times New Roman" w:cs="Times New Roman"/>
          <w:b/>
          <w:bCs/>
          <w:sz w:val="20"/>
          <w:szCs w:val="20"/>
          <w:lang w:val="en-US"/>
        </w:rPr>
        <w:t>O.M. Beketov National University of Urban Economy in Kharkiv)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B02615" w:rsidRPr="00B02615">
        <w:rPr>
          <w:rFonts w:ascii="Times New Roman" w:eastAsia="Aptos" w:hAnsi="Times New Roman" w:cs="Times New Roman"/>
          <w:b/>
          <w:bCs/>
          <w:sz w:val="20"/>
          <w:szCs w:val="20"/>
          <w:lang w:val="en"/>
          <w14:ligatures w14:val="none"/>
        </w:rPr>
        <w:t>assist</w:t>
      </w:r>
      <w:r w:rsidR="00B02615">
        <w:rPr>
          <w:rFonts w:ascii="Times New Roman" w:eastAsia="Aptos" w:hAnsi="Times New Roman" w:cs="Times New Roman"/>
          <w:b/>
          <w:bCs/>
          <w:sz w:val="20"/>
          <w:szCs w:val="20"/>
          <w:lang w:val="uk-UA"/>
          <w14:ligatures w14:val="none"/>
        </w:rPr>
        <w:t>.</w:t>
      </w:r>
      <w:r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prof</w:t>
      </w:r>
      <w:r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  <w:r w:rsidR="00030F0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Dudka</w:t>
      </w:r>
      <w:r w:rsidR="00030F0F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70478C">
        <w:rPr>
          <w:rFonts w:ascii="Times New Roman" w:hAnsi="Times New Roman" w:cs="Times New Roman"/>
          <w:b/>
          <w:bCs/>
          <w:sz w:val="20"/>
          <w:szCs w:val="20"/>
          <w:lang w:val="en-US"/>
        </w:rPr>
        <w:t>O</w:t>
      </w:r>
      <w:r w:rsidR="0070478C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  <w:r w:rsidR="0070478C">
        <w:rPr>
          <w:rFonts w:ascii="Times New Roman" w:hAnsi="Times New Roman" w:cs="Times New Roman"/>
          <w:b/>
          <w:bCs/>
          <w:sz w:val="20"/>
          <w:szCs w:val="20"/>
          <w:lang w:val="en-US"/>
        </w:rPr>
        <w:t>M</w:t>
      </w:r>
      <w:r w:rsidR="0070478C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B02615" w:rsidRPr="00B02615">
        <w:rPr>
          <w:rFonts w:ascii="Times New Roman" w:eastAsia="Aptos" w:hAnsi="Times New Roman" w:cs="Times New Roman"/>
          <w:b/>
          <w:bCs/>
          <w:sz w:val="20"/>
          <w:szCs w:val="20"/>
          <w:lang w:val="en"/>
          <w14:ligatures w14:val="none"/>
        </w:rPr>
        <w:t>senior lecturer</w:t>
      </w:r>
      <w:r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Silvestrova</w:t>
      </w:r>
      <w:r w:rsidR="0070478C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70478C">
        <w:rPr>
          <w:rFonts w:ascii="Times New Roman" w:hAnsi="Times New Roman" w:cs="Times New Roman"/>
          <w:b/>
          <w:bCs/>
          <w:sz w:val="20"/>
          <w:szCs w:val="20"/>
          <w:lang w:val="en-US"/>
        </w:rPr>
        <w:t>N</w:t>
      </w:r>
      <w:r w:rsidR="0070478C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  <w:r w:rsidR="0070478C"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 w:rsidR="0070478C" w:rsidRPr="008B3D48">
        <w:rPr>
          <w:rFonts w:ascii="Times New Roman" w:hAnsi="Times New Roman" w:cs="Times New Roman"/>
          <w:b/>
          <w:bCs/>
          <w:sz w:val="20"/>
          <w:szCs w:val="20"/>
          <w:lang w:val="uk-UA"/>
        </w:rPr>
        <w:t>.</w:t>
      </w:r>
    </w:p>
    <w:p w14:paraId="40DEF200" w14:textId="44C52BCB" w:rsidR="00E77836" w:rsidRPr="00E77836" w:rsidRDefault="005E7BC3" w:rsidP="00E606A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5E7BC3">
        <w:rPr>
          <w:rFonts w:ascii="Times New Roman" w:hAnsi="Times New Roman" w:cs="Times New Roman"/>
          <w:i/>
          <w:iCs/>
          <w:sz w:val="18"/>
          <w:szCs w:val="18"/>
          <w:lang w:val="uk-UA"/>
        </w:rPr>
        <w:t>Розгл</w:t>
      </w:r>
      <w:r w:rsidR="002C7639">
        <w:rPr>
          <w:rFonts w:ascii="Times New Roman" w:hAnsi="Times New Roman" w:cs="Times New Roman"/>
          <w:i/>
          <w:iCs/>
          <w:sz w:val="18"/>
          <w:szCs w:val="18"/>
          <w:lang w:val="uk-UA"/>
        </w:rPr>
        <w:t>я</w:t>
      </w:r>
      <w:r w:rsidRPr="005E7BC3">
        <w:rPr>
          <w:rFonts w:ascii="Times New Roman" w:hAnsi="Times New Roman" w:cs="Times New Roman"/>
          <w:i/>
          <w:iCs/>
          <w:sz w:val="18"/>
          <w:szCs w:val="18"/>
          <w:lang w:val="uk-UA"/>
        </w:rPr>
        <w:t>д</w:t>
      </w:r>
      <w:r w:rsidR="002C7639">
        <w:rPr>
          <w:rFonts w:ascii="Times New Roman" w:hAnsi="Times New Roman" w:cs="Times New Roman"/>
          <w:i/>
          <w:iCs/>
          <w:sz w:val="18"/>
          <w:szCs w:val="18"/>
          <w:lang w:val="uk-UA"/>
        </w:rPr>
        <w:t>а</w:t>
      </w:r>
      <w:r w:rsidRPr="005E7BC3">
        <w:rPr>
          <w:rFonts w:ascii="Times New Roman" w:hAnsi="Times New Roman" w:cs="Times New Roman"/>
          <w:i/>
          <w:iCs/>
          <w:sz w:val="18"/>
          <w:szCs w:val="18"/>
          <w:lang w:val="uk-UA"/>
        </w:rPr>
        <w:t>ються</w:t>
      </w: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>п</w:t>
      </w:r>
      <w:r w:rsidR="002114B2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ерспективні тенденції розвитку 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>архітектури сучасних торговельно-розважальних центрів, визначаються їх особливості, специфіка, просторова структура, планувальні схеми та їх роль і місце в структурі міського середовища.</w:t>
      </w:r>
    </w:p>
    <w:p w14:paraId="3AFD9190" w14:textId="281C4F92" w:rsidR="00E77836" w:rsidRPr="002C7639" w:rsidRDefault="002C7639" w:rsidP="00E606A1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The prospective trends in the development of the architecture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of modern shopping and entertainment centers are considered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their features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specific characteristics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spatial structure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planning schemes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>,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as well as their role and place in the structure of the urban environment are defined.</w:t>
      </w:r>
    </w:p>
    <w:p w14:paraId="729C6B88" w14:textId="5DC9A2FF" w:rsidR="0070478C" w:rsidRPr="008B3D48" w:rsidRDefault="00030F0F" w:rsidP="00E606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Дана тематика роботи сьогодні є актуальною у зв’язку з тим що торговельно-розважальні центри залишаються важливими елементами міського середовища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>, попри стрімкий розвиток онлайн торгівлі та зміну споживчих звичок населення [</w:t>
      </w:r>
      <w:r w:rsidR="00BC47A3" w:rsidRPr="008B3D48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]. Завдяки своїй мультифункціональності, комплексності послуг </w:t>
      </w:r>
      <w:r w:rsidR="00B02615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 створенню комфортного середовища для відпочинку</w:t>
      </w:r>
      <w:r w:rsidR="00B02615">
        <w:rPr>
          <w:rFonts w:ascii="Times New Roman" w:hAnsi="Times New Roman" w:cs="Times New Roman"/>
          <w:sz w:val="20"/>
          <w:szCs w:val="20"/>
          <w:lang w:val="uk-UA"/>
        </w:rPr>
        <w:t xml:space="preserve"> такі розвинені ТРЦ стають міськими акцентами та магнітами тяжіння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46E5C670" w14:textId="61019EA8" w:rsidR="00BF229B" w:rsidRDefault="0070478C" w:rsidP="00BF2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Згідно статі </w:t>
      </w:r>
      <w:r w:rsidRPr="008B3D48">
        <w:rPr>
          <w:rFonts w:ascii="Times New Roman" w:hAnsi="Times New Roman" w:cs="Times New Roman"/>
          <w:sz w:val="20"/>
          <w:szCs w:val="20"/>
          <w:lang w:val="en-US"/>
        </w:rPr>
        <w:t>Flame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3D48">
        <w:rPr>
          <w:rFonts w:ascii="Times New Roman" w:hAnsi="Times New Roman" w:cs="Times New Roman"/>
          <w:sz w:val="20"/>
          <w:szCs w:val="20"/>
          <w:lang w:val="en-US"/>
        </w:rPr>
        <w:t>Analytics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 [</w:t>
      </w:r>
      <w:r w:rsidR="00C848D6" w:rsidRPr="008B3D48">
        <w:rPr>
          <w:rFonts w:ascii="Times New Roman" w:hAnsi="Times New Roman" w:cs="Times New Roman"/>
          <w:sz w:val="20"/>
          <w:szCs w:val="20"/>
        </w:rPr>
        <w:t>2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>]</w:t>
      </w:r>
      <w:r w:rsidR="00E606A1" w:rsidRPr="008B3D4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3D48">
        <w:rPr>
          <w:rFonts w:ascii="Times New Roman" w:hAnsi="Times New Roman" w:cs="Times New Roman"/>
          <w:sz w:val="20"/>
          <w:szCs w:val="20"/>
          <w:lang w:val="uk-UA"/>
        </w:rPr>
        <w:t>«Виклики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та тенденції для торгових центрів у 2024 році»</w:t>
      </w:r>
      <w:r w:rsidR="00F10611">
        <w:rPr>
          <w:rFonts w:ascii="Times New Roman" w:hAnsi="Times New Roman" w:cs="Times New Roman"/>
          <w:sz w:val="20"/>
          <w:szCs w:val="20"/>
          <w:lang w:val="uk-UA"/>
        </w:rPr>
        <w:t xml:space="preserve">, омніканальність перетворюється на стандарт функціонування ТРЦ. Торгові центри інтегрують фізичний і цифровий простір, забезпечуючи споживачеві зручність як під час онлайн покупок, так і при відвідуванні об’єкта особисто. Із цього витікає поняття </w:t>
      </w:r>
      <w:r w:rsidR="00F10611" w:rsidRPr="00F10611">
        <w:rPr>
          <w:rFonts w:ascii="Times New Roman" w:hAnsi="Times New Roman" w:cs="Times New Roman"/>
          <w:b/>
          <w:bCs/>
          <w:sz w:val="20"/>
          <w:szCs w:val="20"/>
          <w:lang w:val="uk-UA"/>
        </w:rPr>
        <w:t>гібридизації функцій</w:t>
      </w:r>
      <w:r w:rsidR="00F10611">
        <w:rPr>
          <w:rFonts w:ascii="Times New Roman" w:hAnsi="Times New Roman" w:cs="Times New Roman"/>
          <w:sz w:val="20"/>
          <w:szCs w:val="20"/>
          <w:lang w:val="uk-UA"/>
        </w:rPr>
        <w:t>, що полягає у поєднанні різних сценаріїв використання простору.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 xml:space="preserve"> Така г</w:t>
      </w:r>
      <w:r w:rsidR="00F10611">
        <w:rPr>
          <w:rFonts w:ascii="Times New Roman" w:hAnsi="Times New Roman" w:cs="Times New Roman"/>
          <w:sz w:val="20"/>
          <w:szCs w:val="20"/>
          <w:lang w:val="uk-UA"/>
        </w:rPr>
        <w:t xml:space="preserve">ібридизація проявляється у взаємодії комерційних, соціальних та культурних елементів: магазини поєднуються з коворкінгами, кінотеатри з виставковими зонами, а фудкорти з відкритими просторами відпочинку. Прикладами є </w:t>
      </w:r>
      <w:r w:rsidR="00F10611">
        <w:rPr>
          <w:rFonts w:ascii="Times New Roman" w:hAnsi="Times New Roman" w:cs="Times New Roman"/>
          <w:sz w:val="20"/>
          <w:szCs w:val="20"/>
          <w:lang w:val="en-US"/>
        </w:rPr>
        <w:t>Bedok</w:t>
      </w:r>
      <w:r w:rsidR="00F10611" w:rsidRPr="00F1061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Mall</w:t>
      </w:r>
      <w:r w:rsidR="004E1DD0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у Сингапурі,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Lulius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Town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у Румунії та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Omaxe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World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611" w:rsidRPr="004E1DD0">
        <w:rPr>
          <w:rFonts w:ascii="Times New Roman" w:hAnsi="Times New Roman" w:cs="Times New Roman"/>
          <w:sz w:val="20"/>
          <w:szCs w:val="20"/>
          <w:lang w:val="en-US"/>
        </w:rPr>
        <w:t>Street</w:t>
      </w:r>
      <w:r w:rsidR="00F10611" w:rsidRPr="004E1DD0">
        <w:rPr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F10611">
        <w:rPr>
          <w:rFonts w:ascii="Times New Roman" w:hAnsi="Times New Roman" w:cs="Times New Roman"/>
          <w:sz w:val="20"/>
          <w:szCs w:val="20"/>
          <w:lang w:val="uk-UA"/>
        </w:rPr>
        <w:t xml:space="preserve"> Індії, де всі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такі</w:t>
      </w:r>
      <w:r w:rsidR="00843751">
        <w:rPr>
          <w:rFonts w:ascii="Times New Roman" w:hAnsi="Times New Roman" w:cs="Times New Roman"/>
          <w:sz w:val="20"/>
          <w:szCs w:val="20"/>
          <w:lang w:val="uk-UA"/>
        </w:rPr>
        <w:t xml:space="preserve"> тенденції об’єднані в один єдиний простір</w:t>
      </w:r>
      <w:r w:rsidR="004E1DD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4AD97980" w14:textId="141363BB" w:rsidR="004E1DD0" w:rsidRDefault="004E1DD0" w:rsidP="004E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Паралельно з цим розвивається </w:t>
      </w:r>
      <w:r w:rsidRPr="004E1DD0">
        <w:rPr>
          <w:rFonts w:ascii="Times New Roman" w:hAnsi="Times New Roman" w:cs="Times New Roman"/>
          <w:b/>
          <w:bCs/>
          <w:sz w:val="20"/>
          <w:szCs w:val="20"/>
          <w:lang w:val="uk-UA"/>
        </w:rPr>
        <w:t>цифрова адаптація</w:t>
      </w:r>
      <w:r>
        <w:rPr>
          <w:rFonts w:ascii="Times New Roman" w:hAnsi="Times New Roman" w:cs="Times New Roman"/>
          <w:sz w:val="20"/>
          <w:szCs w:val="20"/>
          <w:lang w:val="uk-UA"/>
        </w:rPr>
        <w:t>, що забезпечує зручність функціонування будів</w:t>
      </w:r>
      <w:r w:rsidR="00B02615">
        <w:rPr>
          <w:rFonts w:ascii="Times New Roman" w:hAnsi="Times New Roman" w:cs="Times New Roman"/>
          <w:sz w:val="20"/>
          <w:szCs w:val="20"/>
          <w:lang w:val="uk-UA"/>
        </w:rPr>
        <w:t>ель ТРЦ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B02615">
        <w:rPr>
          <w:rFonts w:ascii="Times New Roman" w:hAnsi="Times New Roman" w:cs="Times New Roman"/>
          <w:sz w:val="20"/>
          <w:szCs w:val="20"/>
          <w:lang w:val="uk-UA"/>
        </w:rPr>
        <w:t>Активно в</w:t>
      </w:r>
      <w:r>
        <w:rPr>
          <w:rFonts w:ascii="Times New Roman" w:hAnsi="Times New Roman" w:cs="Times New Roman"/>
          <w:sz w:val="20"/>
          <w:szCs w:val="20"/>
          <w:lang w:val="uk-UA"/>
        </w:rPr>
        <w:t>икористовуються</w:t>
      </w:r>
      <w:r w:rsidR="00B0261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якісні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автоматизовані системи клімат-контролю, розумне освітлення, інтерактивна </w:t>
      </w: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навігація, сенсорні панелі та аналітичні інструменти, що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 xml:space="preserve">значно покращує торговий сервіс і дозволяє </w:t>
      </w:r>
      <w:r>
        <w:rPr>
          <w:rFonts w:ascii="Times New Roman" w:hAnsi="Times New Roman" w:cs="Times New Roman"/>
          <w:sz w:val="20"/>
          <w:szCs w:val="20"/>
          <w:lang w:val="uk-UA"/>
        </w:rPr>
        <w:t>відстежу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вати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потоки відвідувачів.</w:t>
      </w:r>
    </w:p>
    <w:p w14:paraId="37E119BB" w14:textId="77777777" w:rsidR="00BF229B" w:rsidRDefault="004E1DD0" w:rsidP="00BF2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Не менш важливою тенденцією є </w:t>
      </w:r>
      <w:r w:rsidRPr="00F11548">
        <w:rPr>
          <w:rFonts w:ascii="Times New Roman" w:hAnsi="Times New Roman" w:cs="Times New Roman"/>
          <w:b/>
          <w:bCs/>
          <w:sz w:val="20"/>
          <w:szCs w:val="20"/>
          <w:lang w:val="uk-UA"/>
        </w:rPr>
        <w:t>екологічний підхід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Його головна мета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-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мінімізувати шкоду для довкілля, не порушуючи при цьому комфорт відвідувачів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економічну ефективність.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Основними принципами </w:t>
      </w:r>
      <w:r w:rsidR="00BF229B">
        <w:rPr>
          <w:rFonts w:ascii="Times New Roman" w:hAnsi="Times New Roman" w:cs="Times New Roman"/>
          <w:sz w:val="20"/>
          <w:szCs w:val="20"/>
          <w:lang w:val="uk-UA"/>
        </w:rPr>
        <w:t>при цьому є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зниження енергоспоживання за рахунок розумного </w:t>
      </w:r>
      <w:r w:rsidR="00F11548">
        <w:rPr>
          <w:rFonts w:ascii="Times New Roman" w:hAnsi="Times New Roman" w:cs="Times New Roman"/>
          <w:sz w:val="20"/>
          <w:szCs w:val="20"/>
          <w:lang w:val="en-US"/>
        </w:rPr>
        <w:t>LED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освітлення, котре реагує на присутність відвідувача та вмикає освітлення лише за потреби.</w:t>
      </w:r>
    </w:p>
    <w:p w14:paraId="1197BA79" w14:textId="61071CC4" w:rsidR="001C441F" w:rsidRPr="00BF229B" w:rsidRDefault="00BF229B" w:rsidP="007D4FD4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Особливої уваги потребує п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ереробка </w:t>
      </w:r>
      <w:r>
        <w:rPr>
          <w:rFonts w:ascii="Times New Roman" w:hAnsi="Times New Roman" w:cs="Times New Roman"/>
          <w:sz w:val="20"/>
          <w:szCs w:val="20"/>
          <w:lang w:val="uk-UA"/>
        </w:rPr>
        <w:t>та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повторне використання матеріалів, інтеграція зелених просторів, ефективне використання природніх ресурсів, скорочення викидів</w:t>
      </w:r>
      <w:r w:rsidR="00F11548" w:rsidRPr="00F11548">
        <w:rPr>
          <w:rFonts w:ascii="Times New Roman" w:hAnsi="Times New Roman" w:cs="Times New Roman"/>
          <w:sz w:val="20"/>
          <w:szCs w:val="20"/>
        </w:rPr>
        <w:t xml:space="preserve"> </w:t>
      </w:r>
      <w:r w:rsidR="00F1154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="00F11548" w:rsidRPr="00F11548">
        <w:rPr>
          <w:rFonts w:ascii="Times New Roman" w:hAnsi="Times New Roman" w:cs="Times New Roman"/>
          <w:sz w:val="20"/>
          <w:szCs w:val="20"/>
        </w:rPr>
        <w:t>2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 xml:space="preserve"> тощо. Всі вище перелічені екологічні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аспекти і </w:t>
      </w:r>
      <w:r w:rsidR="00F11548">
        <w:rPr>
          <w:rFonts w:ascii="Times New Roman" w:hAnsi="Times New Roman" w:cs="Times New Roman"/>
          <w:sz w:val="20"/>
          <w:szCs w:val="20"/>
          <w:lang w:val="uk-UA"/>
        </w:rPr>
        <w:t>впровадження реалізуються наступним чином</w:t>
      </w:r>
      <w:r w:rsidR="00F11548" w:rsidRPr="00F11548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F11548" w:rsidRPr="00F11548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 система збору дощової води,</w:t>
      </w:r>
      <w:r w:rsidR="00F11548" w:rsidRPr="00F11548">
        <w:rPr>
          <w:rFonts w:ascii="Times New Roman" w:eastAsia="Aptos" w:hAnsi="Times New Roman" w:cs="Times New Roman"/>
          <w:sz w:val="20"/>
          <w:szCs w:val="20"/>
        </w:rPr>
        <w:t>[</w:t>
      </w:r>
      <w:r w:rsidR="00C848D6" w:rsidRPr="00C848D6">
        <w:rPr>
          <w:rFonts w:ascii="Times New Roman" w:eastAsia="Aptos" w:hAnsi="Times New Roman" w:cs="Times New Roman"/>
          <w:sz w:val="20"/>
          <w:szCs w:val="20"/>
        </w:rPr>
        <w:t>3</w:t>
      </w:r>
      <w:r w:rsidR="00F11548" w:rsidRPr="00F11548">
        <w:rPr>
          <w:rFonts w:ascii="Times New Roman" w:eastAsia="Aptos" w:hAnsi="Times New Roman" w:cs="Times New Roman"/>
          <w:sz w:val="20"/>
          <w:szCs w:val="20"/>
        </w:rPr>
        <w:t>]</w:t>
      </w:r>
      <w:r w:rsidR="00F11548" w:rsidRPr="00F11548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 регулює раціональне використання водних ресурсів. Атріум </w:t>
      </w:r>
      <w:r w:rsidR="000B617C" w:rsidRPr="000B617C">
        <w:rPr>
          <w:rFonts w:ascii="Times New Roman" w:eastAsia="Aptos" w:hAnsi="Times New Roman" w:cs="Times New Roman"/>
          <w:sz w:val="20"/>
          <w:szCs w:val="20"/>
        </w:rPr>
        <w:t>[</w:t>
      </w:r>
      <w:r w:rsidR="000B617C">
        <w:rPr>
          <w:rFonts w:ascii="Times New Roman" w:eastAsia="Aptos" w:hAnsi="Times New Roman" w:cs="Times New Roman"/>
          <w:sz w:val="20"/>
          <w:szCs w:val="20"/>
          <w:lang w:val="uk-UA"/>
        </w:rPr>
        <w:t>4</w:t>
      </w:r>
      <w:r w:rsidR="000B617C" w:rsidRPr="000B617C">
        <w:rPr>
          <w:rFonts w:ascii="Times New Roman" w:eastAsia="Aptos" w:hAnsi="Times New Roman" w:cs="Times New Roman"/>
          <w:sz w:val="20"/>
          <w:szCs w:val="20"/>
        </w:rPr>
        <w:t>]</w:t>
      </w:r>
      <w:r w:rsidR="000B617C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 </w:t>
      </w:r>
      <w:r w:rsidR="00F11548" w:rsidRPr="00F11548">
        <w:rPr>
          <w:rFonts w:ascii="Times New Roman" w:eastAsia="Aptos" w:hAnsi="Times New Roman" w:cs="Times New Roman"/>
          <w:sz w:val="20"/>
          <w:szCs w:val="20"/>
          <w:lang w:val="uk-UA"/>
        </w:rPr>
        <w:t>в ден</w:t>
      </w:r>
      <w:r w:rsidR="00F11548">
        <w:rPr>
          <w:rFonts w:ascii="Times New Roman" w:eastAsia="Aptos" w:hAnsi="Times New Roman" w:cs="Times New Roman"/>
          <w:sz w:val="20"/>
          <w:szCs w:val="20"/>
          <w:lang w:val="uk-UA"/>
        </w:rPr>
        <w:t>н</w:t>
      </w:r>
      <w:r w:rsidR="00F11548" w:rsidRPr="00F11548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ий час економить електроенергію завдяки природньому освітленню, також для економії електроенергії використовуються сонячні панелі </w:t>
      </w:r>
      <w:r w:rsidR="000B617C" w:rsidRPr="000B617C">
        <w:rPr>
          <w:rFonts w:ascii="Times New Roman" w:eastAsia="Aptos" w:hAnsi="Times New Roman" w:cs="Times New Roman"/>
          <w:sz w:val="20"/>
          <w:szCs w:val="20"/>
        </w:rPr>
        <w:t>[</w:t>
      </w:r>
      <w:r w:rsidR="000B617C">
        <w:rPr>
          <w:rFonts w:ascii="Times New Roman" w:eastAsia="Aptos" w:hAnsi="Times New Roman" w:cs="Times New Roman"/>
          <w:sz w:val="20"/>
          <w:szCs w:val="20"/>
          <w:lang w:val="uk-UA"/>
        </w:rPr>
        <w:t>5</w:t>
      </w:r>
      <w:r w:rsidR="00F11548" w:rsidRPr="00F11548">
        <w:rPr>
          <w:rFonts w:ascii="Times New Roman" w:eastAsia="Aptos" w:hAnsi="Times New Roman" w:cs="Times New Roman"/>
          <w:sz w:val="20"/>
          <w:szCs w:val="20"/>
          <w:lang w:val="uk-UA"/>
        </w:rPr>
        <w:t>]</w:t>
      </w:r>
      <w:r w:rsidR="001C441F">
        <w:rPr>
          <w:rFonts w:ascii="Times New Roman" w:eastAsia="Aptos" w:hAnsi="Times New Roman" w:cs="Times New Roman"/>
          <w:sz w:val="20"/>
          <w:szCs w:val="20"/>
          <w:lang w:val="uk-UA"/>
        </w:rPr>
        <w:t>, (Рис.1).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8"/>
        <w:gridCol w:w="2239"/>
        <w:gridCol w:w="1986"/>
      </w:tblGrid>
      <w:tr w:rsidR="007D4FD4" w14:paraId="723C3C99" w14:textId="77777777" w:rsidTr="001C441F"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7A1B6FD8" w14:textId="019890E6" w:rsidR="001C441F" w:rsidRDefault="007D4FD4" w:rsidP="007D4FD4">
            <w:pPr>
              <w:spacing w:after="2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814A436" wp14:editId="493AA49E">
                  <wp:extent cx="1344902" cy="756000"/>
                  <wp:effectExtent l="0" t="0" r="8255" b="6350"/>
                  <wp:docPr id="1766706715" name="Рисунок 2" descr="Systemy wykorzystania wody deszczowej i roztopow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ystemy wykorzystania wody deszczowej i roztopow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0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099EA995" w14:textId="5A5DA157" w:rsidR="001C441F" w:rsidRDefault="007D4FD4" w:rsidP="007D4FD4">
            <w:pPr>
              <w:spacing w:after="2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4E327D3" wp14:editId="1D61BA74">
                  <wp:extent cx="1344158" cy="756000"/>
                  <wp:effectExtent l="0" t="0" r="8890" b="6350"/>
                  <wp:docPr id="1041273882" name="Рисунок 3" descr="What are the benefits of carbon accounting and managing climate-related financial risk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are the benefits of carbon accounting and managing climate-related financial risk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58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6DC7333" w14:textId="516C13C4" w:rsidR="001C441F" w:rsidRDefault="007D4FD4" w:rsidP="007D4FD4">
            <w:pPr>
              <w:spacing w:after="2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83288EB" wp14:editId="788B91B5">
                  <wp:extent cx="1184012" cy="756000"/>
                  <wp:effectExtent l="0" t="0" r="0" b="6350"/>
                  <wp:docPr id="540664680" name="Рисунок 1" descr="projct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jct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1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41F" w14:paraId="34F5BE29" w14:textId="77777777" w:rsidTr="001C441F"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83E95" w14:textId="6F5A9796" w:rsidR="001C441F" w:rsidRPr="001C441F" w:rsidRDefault="001C441F" w:rsidP="007D4FD4">
            <w:pPr>
              <w:spacing w:after="200"/>
              <w:jc w:val="center"/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1C441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  <w:lang w:val="uk-UA"/>
              </w:rPr>
              <w:t>Рисунок 1. Приклад впровадження екологічності в структуру ТРЦ</w:t>
            </w:r>
          </w:p>
        </w:tc>
      </w:tr>
    </w:tbl>
    <w:p w14:paraId="3917EF98" w14:textId="13CCD4E4" w:rsidR="001C441F" w:rsidRDefault="001C441F" w:rsidP="00ED13C9">
      <w:pPr>
        <w:spacing w:after="200" w:line="240" w:lineRule="auto"/>
        <w:ind w:firstLine="567"/>
        <w:jc w:val="both"/>
        <w:rPr>
          <w:rFonts w:ascii="Times New Roman" w:eastAsia="Aptos" w:hAnsi="Times New Roman" w:cs="Times New Roman"/>
          <w:sz w:val="20"/>
          <w:szCs w:val="20"/>
          <w:lang w:val="uk-UA"/>
        </w:rPr>
      </w:pPr>
      <w:r>
        <w:rPr>
          <w:rFonts w:ascii="Times New Roman" w:eastAsia="Aptos" w:hAnsi="Times New Roman" w:cs="Times New Roman"/>
          <w:sz w:val="20"/>
          <w:szCs w:val="20"/>
          <w:lang w:val="uk-UA"/>
        </w:rPr>
        <w:t xml:space="preserve">Узагальнюючи, можна стверджувати що сучасні ТРЦ поступово перетворюються з </w:t>
      </w:r>
      <w:r w:rsidR="00BF229B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торгових </w:t>
      </w:r>
      <w:r>
        <w:rPr>
          <w:rFonts w:ascii="Times New Roman" w:eastAsia="Aptos" w:hAnsi="Times New Roman" w:cs="Times New Roman"/>
          <w:sz w:val="20"/>
          <w:szCs w:val="20"/>
          <w:lang w:val="uk-UA"/>
        </w:rPr>
        <w:t xml:space="preserve">місць </w:t>
      </w:r>
      <w:r w:rsidR="00BF229B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повсякденного </w:t>
      </w:r>
      <w:r>
        <w:rPr>
          <w:rFonts w:ascii="Times New Roman" w:eastAsia="Aptos" w:hAnsi="Times New Roman" w:cs="Times New Roman"/>
          <w:sz w:val="20"/>
          <w:szCs w:val="20"/>
          <w:lang w:val="uk-UA"/>
        </w:rPr>
        <w:t xml:space="preserve">споживання на багатофункціональні простори </w:t>
      </w:r>
      <w:r w:rsidR="00BF229B">
        <w:rPr>
          <w:rFonts w:ascii="Times New Roman" w:eastAsia="Aptos" w:hAnsi="Times New Roman" w:cs="Times New Roman"/>
          <w:sz w:val="20"/>
          <w:szCs w:val="20"/>
          <w:lang w:val="uk-UA"/>
        </w:rPr>
        <w:t>з акцентом на соці</w:t>
      </w:r>
      <w:r w:rsidR="00957273">
        <w:rPr>
          <w:rFonts w:ascii="Times New Roman" w:eastAsia="Aptos" w:hAnsi="Times New Roman" w:cs="Times New Roman"/>
          <w:sz w:val="20"/>
          <w:szCs w:val="20"/>
          <w:lang w:val="uk-UA"/>
        </w:rPr>
        <w:t>окультур</w:t>
      </w:r>
      <w:r w:rsidR="00BF229B">
        <w:rPr>
          <w:rFonts w:ascii="Times New Roman" w:eastAsia="Aptos" w:hAnsi="Times New Roman" w:cs="Times New Roman"/>
          <w:sz w:val="20"/>
          <w:szCs w:val="20"/>
          <w:lang w:val="uk-UA"/>
        </w:rPr>
        <w:t>н</w:t>
      </w:r>
      <w:r w:rsidR="00957273">
        <w:rPr>
          <w:rFonts w:ascii="Times New Roman" w:eastAsia="Aptos" w:hAnsi="Times New Roman" w:cs="Times New Roman"/>
          <w:sz w:val="20"/>
          <w:szCs w:val="20"/>
          <w:lang w:val="uk-UA"/>
        </w:rPr>
        <w:t xml:space="preserve">і </w:t>
      </w:r>
      <w:r>
        <w:rPr>
          <w:rFonts w:ascii="Times New Roman" w:eastAsia="Aptos" w:hAnsi="Times New Roman" w:cs="Times New Roman"/>
          <w:sz w:val="20"/>
          <w:szCs w:val="20"/>
          <w:lang w:val="uk-UA"/>
        </w:rPr>
        <w:t>взаємодії. Вони формують нове, комфортне та збалансоване середовище, де поєднуються комерційн</w:t>
      </w:r>
      <w:r w:rsidR="005A1A1F">
        <w:rPr>
          <w:rFonts w:ascii="Times New Roman" w:eastAsia="Aptos" w:hAnsi="Times New Roman" w:cs="Times New Roman"/>
          <w:sz w:val="20"/>
          <w:szCs w:val="20"/>
          <w:lang w:val="uk-UA"/>
        </w:rPr>
        <w:t>а, соціальна й екологічна активності.</w:t>
      </w:r>
    </w:p>
    <w:p w14:paraId="56E507D5" w14:textId="55863B81" w:rsidR="000B617C" w:rsidRPr="00BC0BC7" w:rsidRDefault="005A1A1F" w:rsidP="00ED13C9">
      <w:pPr>
        <w:spacing w:after="0" w:line="240" w:lineRule="auto"/>
        <w:ind w:firstLine="567"/>
        <w:jc w:val="both"/>
        <w:rPr>
          <w:sz w:val="18"/>
          <w:szCs w:val="18"/>
          <w:lang w:val="uk-UA"/>
        </w:rPr>
      </w:pPr>
      <w:r w:rsidRPr="00BC0BC7">
        <w:rPr>
          <w:rFonts w:ascii="Times New Roman" w:eastAsia="Aptos" w:hAnsi="Times New Roman" w:cs="Times New Roman"/>
          <w:sz w:val="18"/>
          <w:szCs w:val="18"/>
          <w:lang w:val="uk-UA"/>
        </w:rPr>
        <w:t>1</w:t>
      </w:r>
      <w:r w:rsidR="000B617C" w:rsidRPr="00BC0BC7">
        <w:rPr>
          <w:rFonts w:ascii="Times New Roman" w:eastAsia="Aptos" w:hAnsi="Times New Roman" w:cs="Times New Roman"/>
          <w:sz w:val="18"/>
          <w:szCs w:val="18"/>
        </w:rPr>
        <w:t>.</w:t>
      </w:r>
      <w:r w:rsidR="008E725E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Вьоник А.С., Кузьменко Т.Ю.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uk-UA"/>
        </w:rPr>
        <w:t xml:space="preserve"> (2023). </w:t>
      </w:r>
      <w:r w:rsidR="008E725E" w:rsidRPr="00BC0BC7">
        <w:rPr>
          <w:rFonts w:ascii="Times New Roman" w:eastAsia="Aptos" w:hAnsi="Times New Roman" w:cs="Times New Roman"/>
          <w:sz w:val="18"/>
          <w:szCs w:val="18"/>
          <w:lang w:val="uk-UA"/>
        </w:rPr>
        <w:t xml:space="preserve">Сучасні тенденції формування торгово-розважальних центрів. 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  <w:lang w:val="uk-UA"/>
        </w:rPr>
        <w:t>Матеріали науково-практичної конференції Полтавського національного технічного університету імені Юрія Кондратюка.</w:t>
      </w:r>
      <w:r w:rsidR="00BC47A3" w:rsidRPr="00BC0BC7">
        <w:rPr>
          <w:sz w:val="18"/>
          <w:szCs w:val="18"/>
          <w:lang w:val="uk-UA"/>
        </w:rPr>
        <w:t xml:space="preserve"> </w:t>
      </w:r>
      <w:hyperlink r:id="rId8" w:history="1">
        <w:r w:rsidR="00BC47A3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uk-UA"/>
          </w:rPr>
          <w:t>https://tinyurl.com/repositore</w:t>
        </w:r>
      </w:hyperlink>
      <w:r w:rsidR="00D438F7">
        <w:rPr>
          <w:rStyle w:val="ad"/>
          <w:rFonts w:ascii="Times New Roman" w:eastAsia="Aptos" w:hAnsi="Times New Roman" w:cs="Times New Roman"/>
          <w:sz w:val="18"/>
          <w:szCs w:val="18"/>
          <w:lang w:val="en-US"/>
        </w:rPr>
        <w:t xml:space="preserve"> 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2.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Flame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uk-UA"/>
        </w:rPr>
        <w:t xml:space="preserve"> 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Analytics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uk-UA"/>
        </w:rPr>
        <w:t xml:space="preserve">. (2024). 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  <w:lang w:val="uk-UA"/>
        </w:rPr>
        <w:t xml:space="preserve">Виклики та тенденції для торгових центрів у 2024 році: аналітика 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  <w:lang w:val="en-US"/>
        </w:rPr>
        <w:t>Flame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</w:rPr>
        <w:t xml:space="preserve"> 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  <w:lang w:val="en-US"/>
        </w:rPr>
        <w:t>Analytics</w:t>
      </w:r>
      <w:r w:rsidR="00BC47A3" w:rsidRPr="00BC0BC7">
        <w:rPr>
          <w:rFonts w:ascii="Times New Roman" w:eastAsia="Aptos" w:hAnsi="Times New Roman" w:cs="Times New Roman"/>
          <w:i/>
          <w:iCs/>
          <w:sz w:val="18"/>
          <w:szCs w:val="18"/>
          <w:lang w:val="uk-UA"/>
        </w:rPr>
        <w:t>.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uk-UA"/>
        </w:rPr>
        <w:t xml:space="preserve"> </w:t>
      </w:r>
      <w:r w:rsidR="00BC47A3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Retail Association of Ukraine (RAU.ua).</w:t>
      </w:r>
      <w:r w:rsidR="00C848D6" w:rsidRPr="00BC0BC7">
        <w:rPr>
          <w:sz w:val="18"/>
          <w:szCs w:val="18"/>
          <w:lang w:val="en-US"/>
        </w:rPr>
        <w:t xml:space="preserve"> </w:t>
      </w:r>
      <w:hyperlink r:id="rId9" w:history="1"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https://rau.ua/novyni/vikliki-2024-flame-analytics/</w:t>
        </w:r>
      </w:hyperlink>
      <w:r w:rsidR="00D438F7">
        <w:rPr>
          <w:rStyle w:val="ad"/>
          <w:rFonts w:ascii="Times New Roman" w:eastAsia="Aptos" w:hAnsi="Times New Roman" w:cs="Times New Roman"/>
          <w:sz w:val="18"/>
          <w:szCs w:val="18"/>
          <w:lang w:val="en-US"/>
        </w:rPr>
        <w:t xml:space="preserve"> </w:t>
      </w:r>
      <w:r w:rsidR="00C848D6" w:rsidRPr="00BC0BC7">
        <w:rPr>
          <w:rFonts w:ascii="Times New Roman" w:eastAsia="Aptos" w:hAnsi="Times New Roman" w:cs="Times New Roman"/>
          <w:sz w:val="18"/>
          <w:szCs w:val="18"/>
          <w:lang w:val="pl-PL"/>
        </w:rPr>
        <w:t xml:space="preserve">3.Systemy wykorzustania wody deszczwej I roztopwej, (2023). Budujemy Dom – Instalacje woda I kanalizacja. </w:t>
      </w:r>
      <w:hyperlink r:id="rId10" w:history="1"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https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://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budujemydom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.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pl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/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instalacje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/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woda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i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kanalizacja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/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aktualnosci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/93502-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systemy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wykorzystania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wody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deszczowej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i</w:t>
        </w:r>
        <w:r w:rsidR="00C848D6" w:rsidRPr="00D438F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-</w:t>
        </w:r>
        <w:r w:rsidR="00C848D6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roztopowej</w:t>
        </w:r>
      </w:hyperlink>
      <w:r w:rsidR="00D438F7" w:rsidRPr="00D438F7">
        <w:rPr>
          <w:rStyle w:val="ad"/>
          <w:rFonts w:ascii="Times New Roman" w:eastAsia="Aptos" w:hAnsi="Times New Roman" w:cs="Times New Roman"/>
          <w:sz w:val="18"/>
          <w:szCs w:val="18"/>
          <w:lang w:val="en-US"/>
        </w:rPr>
        <w:t xml:space="preserve"> 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4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.What are the benefits of carbon accounting for managing climate-related issues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?</w:t>
      </w:r>
      <w:r w:rsidR="00FB30CF" w:rsidRPr="00BC0BC7">
        <w:rPr>
          <w:rFonts w:ascii="Times New Roman" w:eastAsia="Aptos" w:hAnsi="Times New Roman" w:cs="Times New Roman"/>
          <w:sz w:val="18"/>
          <w:szCs w:val="18"/>
          <w:lang w:val="en-US"/>
        </w:rPr>
        <w:t xml:space="preserve"> 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(2024).</w:t>
      </w:r>
      <w:r w:rsidR="00FB30CF" w:rsidRPr="00BC0BC7">
        <w:rPr>
          <w:rFonts w:ascii="Times New Roman" w:eastAsia="Aptos" w:hAnsi="Times New Roman" w:cs="Times New Roman"/>
          <w:sz w:val="18"/>
          <w:szCs w:val="18"/>
          <w:lang w:val="en-US"/>
        </w:rPr>
        <w:t xml:space="preserve"> </w:t>
      </w:r>
      <w:hyperlink r:id="rId11" w:history="1"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https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://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www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.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linkedin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.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com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/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pulse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/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what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benefits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carbon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accounting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managing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climate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related</w:t>
        </w:r>
        <w:r w:rsidR="00FB30CF" w:rsidRPr="00D438F7">
          <w:rPr>
            <w:rStyle w:val="ad"/>
            <w:rFonts w:ascii="Times New Roman" w:eastAsia="Aptos" w:hAnsi="Times New Roman" w:cs="Times New Roman"/>
            <w:sz w:val="18"/>
            <w:szCs w:val="18"/>
          </w:rPr>
          <w:t>-1</w:t>
        </w:r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c</w:t>
        </w:r>
      </w:hyperlink>
      <w:r w:rsidR="00FB30CF" w:rsidRPr="00D438F7">
        <w:rPr>
          <w:rFonts w:ascii="Times New Roman" w:eastAsia="Aptos" w:hAnsi="Times New Roman" w:cs="Times New Roman"/>
          <w:sz w:val="18"/>
          <w:szCs w:val="18"/>
        </w:rPr>
        <w:t xml:space="preserve"> </w:t>
      </w:r>
      <w:r w:rsidR="00D438F7" w:rsidRPr="00D438F7">
        <w:rPr>
          <w:rFonts w:ascii="Times New Roman" w:eastAsia="Aptos" w:hAnsi="Times New Roman" w:cs="Times New Roman"/>
          <w:sz w:val="18"/>
          <w:szCs w:val="18"/>
        </w:rPr>
        <w:t xml:space="preserve"> 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uk-UA"/>
        </w:rPr>
        <w:t>5</w:t>
      </w:r>
      <w:r w:rsidR="00C848D6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.</w:t>
      </w:r>
      <w:r w:rsidR="000B617C" w:rsidRPr="00BC0BC7">
        <w:rPr>
          <w:rFonts w:ascii="Times New Roman" w:eastAsia="Aptos" w:hAnsi="Times New Roman" w:cs="Times New Roman"/>
          <w:sz w:val="18"/>
          <w:szCs w:val="18"/>
          <w:lang w:val="en-US"/>
        </w:rPr>
        <w:t>BKA Energy. (2024). Sustainable architectural projects and energy-efficient solutions.</w:t>
      </w:r>
      <w:r w:rsidR="000B617C" w:rsidRPr="00BC0BC7">
        <w:rPr>
          <w:sz w:val="18"/>
          <w:szCs w:val="18"/>
          <w:lang w:val="en-US"/>
        </w:rPr>
        <w:t xml:space="preserve"> </w:t>
      </w:r>
      <w:hyperlink r:id="rId12" w:history="1">
        <w:r w:rsidR="00FB30CF" w:rsidRPr="00BC0BC7">
          <w:rPr>
            <w:rStyle w:val="ad"/>
            <w:rFonts w:ascii="Times New Roman" w:eastAsia="Aptos" w:hAnsi="Times New Roman" w:cs="Times New Roman"/>
            <w:sz w:val="18"/>
            <w:szCs w:val="18"/>
            <w:lang w:val="en-US"/>
          </w:rPr>
          <w:t>https://bka-energy.com/projects/</w:t>
        </w:r>
      </w:hyperlink>
      <w:r w:rsidR="00BC0BC7">
        <w:rPr>
          <w:sz w:val="18"/>
          <w:szCs w:val="18"/>
          <w:lang w:val="uk-UA"/>
        </w:rPr>
        <w:t xml:space="preserve"> </w:t>
      </w:r>
    </w:p>
    <w:sectPr w:rsidR="000B617C" w:rsidRPr="00BC0BC7" w:rsidSect="00981333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5B"/>
    <w:rsid w:val="00030F0F"/>
    <w:rsid w:val="000512C8"/>
    <w:rsid w:val="00060E7A"/>
    <w:rsid w:val="000B617C"/>
    <w:rsid w:val="000F2CEC"/>
    <w:rsid w:val="00117A31"/>
    <w:rsid w:val="001C0161"/>
    <w:rsid w:val="001C441F"/>
    <w:rsid w:val="001C5D92"/>
    <w:rsid w:val="001E28B7"/>
    <w:rsid w:val="001E4956"/>
    <w:rsid w:val="002114B2"/>
    <w:rsid w:val="00217902"/>
    <w:rsid w:val="002C7639"/>
    <w:rsid w:val="003162CF"/>
    <w:rsid w:val="00431EA2"/>
    <w:rsid w:val="00463AFD"/>
    <w:rsid w:val="004E1DD0"/>
    <w:rsid w:val="005A1A1F"/>
    <w:rsid w:val="005C7FD7"/>
    <w:rsid w:val="005E7BC3"/>
    <w:rsid w:val="0070478C"/>
    <w:rsid w:val="00777E77"/>
    <w:rsid w:val="007A7E54"/>
    <w:rsid w:val="007D4FD4"/>
    <w:rsid w:val="0083505F"/>
    <w:rsid w:val="00843751"/>
    <w:rsid w:val="008B3D48"/>
    <w:rsid w:val="008E725E"/>
    <w:rsid w:val="00921C61"/>
    <w:rsid w:val="00957273"/>
    <w:rsid w:val="00962131"/>
    <w:rsid w:val="00981333"/>
    <w:rsid w:val="009E6ECB"/>
    <w:rsid w:val="00B02615"/>
    <w:rsid w:val="00B25DDE"/>
    <w:rsid w:val="00B61B5B"/>
    <w:rsid w:val="00BC0BC7"/>
    <w:rsid w:val="00BC2D47"/>
    <w:rsid w:val="00BC47A3"/>
    <w:rsid w:val="00BF229B"/>
    <w:rsid w:val="00BF5097"/>
    <w:rsid w:val="00C848D6"/>
    <w:rsid w:val="00D438F7"/>
    <w:rsid w:val="00D63CA6"/>
    <w:rsid w:val="00E606A1"/>
    <w:rsid w:val="00E62C45"/>
    <w:rsid w:val="00E77836"/>
    <w:rsid w:val="00ED13C9"/>
    <w:rsid w:val="00F10611"/>
    <w:rsid w:val="00F11548"/>
    <w:rsid w:val="00F13737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E87D"/>
  <w15:chartTrackingRefBased/>
  <w15:docId w15:val="{6878B9C5-BDF0-4C79-9AED-34E86858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B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B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B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B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1B5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F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C47A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C4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reposito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ka-energy.com/projec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linkedin.com/pulse/what-benefits-carbon-accounting-managing-climate-related-1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udujemydom.pl/instalacje/woda-i-kanalizacja/aktualnosci/93502-systemy-wykorzystania-wody-deszczowej-i-roztopow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u.ua/novyni/vikliki-2024-flame-analyti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68EB-3CD6-4E27-8237-3D26A163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music39w8r3w38yr@gmail.com</dc:creator>
  <cp:keywords/>
  <dc:description/>
  <cp:lastModifiedBy>UserOk</cp:lastModifiedBy>
  <cp:revision>3</cp:revision>
  <dcterms:created xsi:type="dcterms:W3CDTF">2025-11-13T15:36:00Z</dcterms:created>
  <dcterms:modified xsi:type="dcterms:W3CDTF">2025-11-13T15:37:00Z</dcterms:modified>
</cp:coreProperties>
</file>