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67BD45" w14:textId="10DFD337" w:rsidR="00CA70BF" w:rsidRDefault="00CA70BF" w:rsidP="00DA3C2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uk-UA"/>
        </w:rPr>
        <w:t>УДК 72.01</w:t>
      </w:r>
    </w:p>
    <w:p w14:paraId="4A9DE8B9" w14:textId="77777777" w:rsidR="00DA3C2A" w:rsidRDefault="00DA3C2A" w:rsidP="00DA3C2A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0FD1223D" w14:textId="18162821" w:rsidR="00806C69" w:rsidRDefault="00C87C45" w:rsidP="00CA70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 w:rsidRPr="00C87C45">
        <w:rPr>
          <w:rFonts w:ascii="Times New Roman" w:hAnsi="Times New Roman" w:cs="Times New Roman"/>
          <w:b/>
          <w:bCs/>
          <w:sz w:val="20"/>
          <w:szCs w:val="20"/>
          <w:lang w:val="uk-UA"/>
        </w:rPr>
        <w:t>С</w:t>
      </w:r>
      <w:r w:rsidR="00143679" w:rsidRPr="00C87C45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учасні підходи до </w:t>
      </w:r>
      <w:proofErr w:type="spellStart"/>
      <w:r w:rsidR="00143679" w:rsidRPr="00C87C45">
        <w:rPr>
          <w:rFonts w:ascii="Times New Roman" w:hAnsi="Times New Roman" w:cs="Times New Roman"/>
          <w:b/>
          <w:bCs/>
          <w:sz w:val="20"/>
          <w:szCs w:val="20"/>
          <w:lang w:val="uk-UA"/>
        </w:rPr>
        <w:t>проєктування</w:t>
      </w:r>
      <w:proofErr w:type="spellEnd"/>
      <w:r w:rsidR="00143679" w:rsidRPr="00C87C45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</w:t>
      </w:r>
      <w:proofErr w:type="spellStart"/>
      <w:r w:rsidR="00143679" w:rsidRPr="00C87C45">
        <w:rPr>
          <w:rFonts w:ascii="Times New Roman" w:hAnsi="Times New Roman" w:cs="Times New Roman"/>
          <w:b/>
          <w:bCs/>
          <w:sz w:val="20"/>
          <w:szCs w:val="20"/>
          <w:lang w:val="uk-UA"/>
        </w:rPr>
        <w:t>поліфункціональних</w:t>
      </w:r>
      <w:proofErr w:type="spellEnd"/>
      <w:r w:rsidR="00143679" w:rsidRPr="00C87C45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культурно-громадських центрів</w:t>
      </w:r>
      <w:r w:rsidR="00CA70BF" w:rsidRPr="00CA70BF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. </w:t>
      </w:r>
      <w:r w:rsidR="00CA70BF">
        <w:rPr>
          <w:rFonts w:ascii="Times New Roman" w:hAnsi="Times New Roman" w:cs="Times New Roman"/>
          <w:b/>
          <w:bCs/>
          <w:sz w:val="20"/>
          <w:szCs w:val="20"/>
          <w:lang w:val="uk-UA"/>
        </w:rPr>
        <w:t>Ї</w:t>
      </w:r>
      <w:r w:rsidR="00143679">
        <w:rPr>
          <w:rFonts w:ascii="Times New Roman" w:hAnsi="Times New Roman" w:cs="Times New Roman"/>
          <w:b/>
          <w:bCs/>
          <w:sz w:val="20"/>
          <w:szCs w:val="20"/>
          <w:lang w:val="uk-UA"/>
        </w:rPr>
        <w:t>хня роль в місті</w:t>
      </w:r>
    </w:p>
    <w:p w14:paraId="215CCDBE" w14:textId="77777777" w:rsidR="00DA3C2A" w:rsidRDefault="00DA3C2A" w:rsidP="00CA70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7CC86455" w14:textId="2211658B" w:rsidR="00CA70BF" w:rsidRDefault="00CA70BF" w:rsidP="00CA70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M</w:t>
      </w:r>
      <w:r w:rsidR="0014367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odern approaches to the design of multifunctional cultural and community </w:t>
      </w:r>
      <w:proofErr w:type="spellStart"/>
      <w:r w:rsidR="00143679">
        <w:rPr>
          <w:rFonts w:ascii="Times New Roman" w:hAnsi="Times New Roman" w:cs="Times New Roman"/>
          <w:b/>
          <w:bCs/>
          <w:sz w:val="20"/>
          <w:szCs w:val="20"/>
          <w:lang w:val="en-US"/>
        </w:rPr>
        <w:t>centre</w:t>
      </w:r>
      <w:proofErr w:type="spellEnd"/>
      <w:r w:rsidR="0014367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T</w:t>
      </w:r>
      <w:r w:rsidR="0014367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heir </w:t>
      </w:r>
      <w:proofErr w:type="spellStart"/>
      <w:r w:rsidR="00143679">
        <w:rPr>
          <w:rFonts w:ascii="Times New Roman" w:hAnsi="Times New Roman" w:cs="Times New Roman"/>
          <w:b/>
          <w:bCs/>
          <w:sz w:val="20"/>
          <w:szCs w:val="20"/>
          <w:lang w:val="en-US"/>
        </w:rPr>
        <w:t>rolein</w:t>
      </w:r>
      <w:proofErr w:type="spellEnd"/>
      <w:r w:rsidR="00143679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the city</w:t>
      </w:r>
    </w:p>
    <w:p w14:paraId="3DE43065" w14:textId="77777777" w:rsidR="00DA3C2A" w:rsidRPr="00DA3C2A" w:rsidRDefault="00DA3C2A" w:rsidP="00CA70B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p w14:paraId="63F4DCB9" w14:textId="118FCD0F" w:rsidR="00A25595" w:rsidRPr="00143679" w:rsidRDefault="00A25595" w:rsidP="00143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DA3C2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А. Д. </w:t>
      </w:r>
      <w:proofErr w:type="spellStart"/>
      <w:r w:rsidRPr="00DA3C2A">
        <w:rPr>
          <w:rFonts w:ascii="Times New Roman" w:hAnsi="Times New Roman" w:cs="Times New Roman"/>
          <w:b/>
          <w:bCs/>
          <w:sz w:val="20"/>
          <w:szCs w:val="20"/>
          <w:lang w:val="uk-UA"/>
        </w:rPr>
        <w:t>Кльосова</w:t>
      </w:r>
      <w:proofErr w:type="spellEnd"/>
      <w:r w:rsidRPr="00DA3C2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, здобувачка другого(магістерського) рівня вищої освіти (Харківський національний університет міського господарства імені О. М. Бекетова), А. С. Мартиненко, </w:t>
      </w:r>
      <w:proofErr w:type="spellStart"/>
      <w:r w:rsidRPr="00DA3C2A">
        <w:rPr>
          <w:rFonts w:ascii="Times New Roman" w:hAnsi="Times New Roman" w:cs="Times New Roman"/>
          <w:b/>
          <w:bCs/>
          <w:sz w:val="20"/>
          <w:szCs w:val="20"/>
          <w:lang w:val="uk-UA"/>
        </w:rPr>
        <w:t>канд</w:t>
      </w:r>
      <w:proofErr w:type="spellEnd"/>
      <w:r w:rsidRPr="00DA3C2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. </w:t>
      </w:r>
      <w:proofErr w:type="spellStart"/>
      <w:r w:rsidRPr="00DA3C2A">
        <w:rPr>
          <w:rFonts w:ascii="Times New Roman" w:hAnsi="Times New Roman" w:cs="Times New Roman"/>
          <w:b/>
          <w:bCs/>
          <w:sz w:val="20"/>
          <w:szCs w:val="20"/>
          <w:lang w:val="uk-UA"/>
        </w:rPr>
        <w:t>арх</w:t>
      </w:r>
      <w:proofErr w:type="spellEnd"/>
      <w:r w:rsidRPr="00DA3C2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., доц., каф. Основ архітектурного </w:t>
      </w:r>
      <w:proofErr w:type="spellStart"/>
      <w:r w:rsidRPr="00DA3C2A">
        <w:rPr>
          <w:rFonts w:ascii="Times New Roman" w:hAnsi="Times New Roman" w:cs="Times New Roman"/>
          <w:b/>
          <w:bCs/>
          <w:sz w:val="20"/>
          <w:szCs w:val="20"/>
          <w:lang w:val="uk-UA"/>
        </w:rPr>
        <w:t>проєктування</w:t>
      </w:r>
      <w:proofErr w:type="spellEnd"/>
      <w:r w:rsidRPr="00DA3C2A">
        <w:rPr>
          <w:rFonts w:ascii="Times New Roman" w:hAnsi="Times New Roman" w:cs="Times New Roman"/>
          <w:b/>
          <w:bCs/>
          <w:sz w:val="20"/>
          <w:szCs w:val="20"/>
          <w:lang w:val="uk-UA"/>
        </w:rPr>
        <w:t xml:space="preserve"> (Харківський національний університет міського господарства імені О. М. Бекетова)</w:t>
      </w:r>
    </w:p>
    <w:p w14:paraId="15DF3B15" w14:textId="77777777" w:rsidR="0001472C" w:rsidRPr="00143679" w:rsidRDefault="0001472C" w:rsidP="00143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</w:p>
    <w:p w14:paraId="0F694DA9" w14:textId="1C21A15F" w:rsidR="00A25595" w:rsidRPr="00DA3C2A" w:rsidRDefault="00A25595" w:rsidP="00143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DA3C2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A. D. </w:t>
      </w:r>
      <w:proofErr w:type="spellStart"/>
      <w:r w:rsidRPr="00DA3C2A">
        <w:rPr>
          <w:rFonts w:ascii="Times New Roman" w:hAnsi="Times New Roman" w:cs="Times New Roman"/>
          <w:b/>
          <w:bCs/>
          <w:sz w:val="20"/>
          <w:szCs w:val="20"/>
          <w:lang w:val="en-US"/>
        </w:rPr>
        <w:t>Klosova</w:t>
      </w:r>
      <w:proofErr w:type="spellEnd"/>
      <w:r w:rsidRPr="00DA3C2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, Master`s Degree Applicant, (O. M. </w:t>
      </w:r>
      <w:proofErr w:type="spellStart"/>
      <w:r w:rsidRPr="00DA3C2A">
        <w:rPr>
          <w:rFonts w:ascii="Times New Roman" w:hAnsi="Times New Roman" w:cs="Times New Roman"/>
          <w:b/>
          <w:bCs/>
          <w:sz w:val="20"/>
          <w:szCs w:val="20"/>
          <w:lang w:val="en-US"/>
        </w:rPr>
        <w:t>Beketov</w:t>
      </w:r>
      <w:proofErr w:type="spellEnd"/>
      <w:r w:rsidRPr="00DA3C2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National University of Urban Economy in Kharkiv), A. S. Martynenko, PhD. In Architecture, Associate Professor, Department of Fundamentals </w:t>
      </w:r>
      <w:r w:rsidRPr="00DA3C2A">
        <w:rPr>
          <w:rFonts w:ascii="Times New Roman" w:eastAsia="Arial" w:hAnsi="Times New Roman" w:cs="Times New Roman"/>
          <w:b/>
          <w:bCs/>
          <w:sz w:val="20"/>
          <w:szCs w:val="20"/>
          <w:lang w:val="en-US"/>
        </w:rPr>
        <w:t>of Architectural Design (</w:t>
      </w:r>
      <w:r w:rsidR="0001472C" w:rsidRPr="00DA3C2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O. M. </w:t>
      </w:r>
      <w:proofErr w:type="spellStart"/>
      <w:r w:rsidR="0001472C" w:rsidRPr="00DA3C2A">
        <w:rPr>
          <w:rFonts w:ascii="Times New Roman" w:hAnsi="Times New Roman" w:cs="Times New Roman"/>
          <w:b/>
          <w:bCs/>
          <w:sz w:val="20"/>
          <w:szCs w:val="20"/>
          <w:lang w:val="en-US"/>
        </w:rPr>
        <w:t>Beketov</w:t>
      </w:r>
      <w:proofErr w:type="spellEnd"/>
      <w:r w:rsidR="0001472C" w:rsidRPr="00DA3C2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National University of Urban Economy in Kharkiv)</w:t>
      </w:r>
    </w:p>
    <w:p w14:paraId="4C6F47DD" w14:textId="77777777" w:rsidR="0001472C" w:rsidRDefault="0001472C" w:rsidP="0014367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37B8FE53" w14:textId="640BCB91" w:rsidR="0001472C" w:rsidRPr="009F09F1" w:rsidRDefault="0001472C" w:rsidP="0014367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  <w:r w:rsidRPr="009F09F1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Розглядаються підходи, які використовуються при </w:t>
      </w:r>
      <w:proofErr w:type="spellStart"/>
      <w:r w:rsidRPr="009F09F1">
        <w:rPr>
          <w:rFonts w:ascii="Times New Roman" w:hAnsi="Times New Roman" w:cs="Times New Roman"/>
          <w:i/>
          <w:iCs/>
          <w:sz w:val="18"/>
          <w:szCs w:val="18"/>
          <w:lang w:val="uk-UA"/>
        </w:rPr>
        <w:t>проєктуванні</w:t>
      </w:r>
      <w:proofErr w:type="spellEnd"/>
      <w:r w:rsidRPr="009F09F1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сучасного культурно-громадського центру</w:t>
      </w:r>
      <w:r w:rsidR="00C4178A" w:rsidRPr="009F09F1">
        <w:rPr>
          <w:rFonts w:ascii="Times New Roman" w:hAnsi="Times New Roman" w:cs="Times New Roman"/>
          <w:i/>
          <w:iCs/>
          <w:sz w:val="18"/>
          <w:szCs w:val="18"/>
          <w:lang w:val="uk-UA"/>
        </w:rPr>
        <w:t>,</w:t>
      </w:r>
      <w:r w:rsidR="00C85D27" w:rsidRPr="009F09F1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 </w:t>
      </w:r>
      <w:r w:rsidR="00C4178A" w:rsidRPr="009F09F1">
        <w:rPr>
          <w:rFonts w:ascii="Times New Roman" w:hAnsi="Times New Roman" w:cs="Times New Roman"/>
          <w:i/>
          <w:iCs/>
          <w:sz w:val="18"/>
          <w:szCs w:val="18"/>
          <w:lang w:val="uk-UA"/>
        </w:rPr>
        <w:t xml:space="preserve">завдяки яким створюється багатофункціональний простір для культурної, освітньої, рекреаційної та соціальної взаємодії. </w:t>
      </w:r>
    </w:p>
    <w:p w14:paraId="04D68982" w14:textId="77777777" w:rsidR="00C85D27" w:rsidRPr="009F09F1" w:rsidRDefault="00C85D27" w:rsidP="0014367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  <w:lang w:val="uk-UA"/>
        </w:rPr>
      </w:pPr>
    </w:p>
    <w:p w14:paraId="2262DC27" w14:textId="338D6593" w:rsidR="00C85D27" w:rsidRPr="009F09F1" w:rsidRDefault="00C85D27" w:rsidP="0014367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9F09F1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The approaches used in the design of a modern cultural and civic center are considered, thanks to which a multifunctional space for cultural, educational, recreational and social interaction is created. </w:t>
      </w:r>
    </w:p>
    <w:p w14:paraId="36EB88B2" w14:textId="77777777" w:rsidR="00C85D27" w:rsidRPr="00C85D27" w:rsidRDefault="00C85D27" w:rsidP="0014367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</w:p>
    <w:p w14:paraId="0BCFB28E" w14:textId="77777777" w:rsidR="009F09F1" w:rsidRDefault="00C87C45" w:rsidP="00143679">
      <w:pPr>
        <w:pStyle w:val="a7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Культурно-громадський центр – це </w:t>
      </w:r>
      <w:r w:rsidR="009F09F1">
        <w:rPr>
          <w:rFonts w:ascii="Times New Roman" w:eastAsia="Arial" w:hAnsi="Times New Roman" w:cs="Times New Roman"/>
          <w:sz w:val="20"/>
          <w:szCs w:val="20"/>
          <w:lang w:val="uk-UA"/>
        </w:rPr>
        <w:t>не тільки місце дозвілля, це ключовий елемент міського простору, який створений задля забезпечення соціальної взаємодії, культурного розвитку та освітньої активності громади.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Культурно-громадські центри </w:t>
      </w:r>
      <w:r w:rsidR="009F09F1">
        <w:rPr>
          <w:rFonts w:ascii="Times New Roman" w:eastAsia="Arial" w:hAnsi="Times New Roman" w:cs="Times New Roman"/>
          <w:sz w:val="20"/>
          <w:szCs w:val="20"/>
          <w:lang w:val="uk-UA"/>
        </w:rPr>
        <w:t>виступають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динамічними </w:t>
      </w:r>
      <w:r w:rsidR="009F09F1">
        <w:rPr>
          <w:rFonts w:ascii="Times New Roman" w:eastAsia="Arial" w:hAnsi="Times New Roman" w:cs="Times New Roman"/>
          <w:sz w:val="20"/>
          <w:szCs w:val="20"/>
          <w:lang w:val="uk-UA"/>
        </w:rPr>
        <w:t>осередками суспільного життя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, сприяють </w:t>
      </w:r>
      <w:r w:rsidR="009F09F1">
        <w:rPr>
          <w:rFonts w:ascii="Times New Roman" w:eastAsia="Arial" w:hAnsi="Times New Roman" w:cs="Times New Roman"/>
          <w:sz w:val="20"/>
          <w:szCs w:val="20"/>
          <w:lang w:val="uk-UA"/>
        </w:rPr>
        <w:t>комунікації, об’єднують людей та формують культурну ідентичність міста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. </w:t>
      </w:r>
    </w:p>
    <w:p w14:paraId="1FCED4E4" w14:textId="57CC074B" w:rsidR="00C87C45" w:rsidRPr="00C87C45" w:rsidRDefault="00C87C45" w:rsidP="00CA70BF">
      <w:pPr>
        <w:pStyle w:val="a7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Сучасний підхід</w:t>
      </w:r>
      <w:r w:rsidR="009F09F1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proofErr w:type="spellStart"/>
      <w:r w:rsidR="009F09F1">
        <w:rPr>
          <w:rFonts w:ascii="Times New Roman" w:eastAsia="Arial" w:hAnsi="Times New Roman" w:cs="Times New Roman"/>
          <w:sz w:val="20"/>
          <w:szCs w:val="20"/>
          <w:lang w:val="uk-UA"/>
        </w:rPr>
        <w:t>проєктування</w:t>
      </w:r>
      <w:proofErr w:type="spellEnd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r w:rsidR="009F09F1">
        <w:rPr>
          <w:rFonts w:ascii="Times New Roman" w:eastAsia="Arial" w:hAnsi="Times New Roman" w:cs="Times New Roman"/>
          <w:sz w:val="20"/>
          <w:szCs w:val="20"/>
          <w:lang w:val="uk-UA"/>
        </w:rPr>
        <w:t>орієнтований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на формування </w:t>
      </w:r>
      <w:proofErr w:type="spellStart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гнучного</w:t>
      </w:r>
      <w:proofErr w:type="spellEnd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, динамічного та інклюзивного простору, що поєднують в собі різноманіття функцій. </w:t>
      </w:r>
      <w:r w:rsidR="009F09F1">
        <w:rPr>
          <w:rFonts w:ascii="Times New Roman" w:eastAsia="Arial" w:hAnsi="Times New Roman" w:cs="Times New Roman"/>
          <w:sz w:val="20"/>
          <w:szCs w:val="20"/>
          <w:lang w:val="uk-UA"/>
        </w:rPr>
        <w:t>С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учасний культурно-громадський центр повинен відповідати наступним запитам – функціональність, гнучкість, мобільність, доступність, відкритість, універсальність та безпечність. Це можна досягнути використовуючи наступні підходи: гнучкість простору, мобільність, </w:t>
      </w:r>
      <w:proofErr w:type="spellStart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інноваційність</w:t>
      </w:r>
      <w:proofErr w:type="spellEnd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, соціальна відкритість, сталий розвиток.</w:t>
      </w:r>
    </w:p>
    <w:p w14:paraId="5CC9E214" w14:textId="07405BD2" w:rsidR="00C87C45" w:rsidRPr="00C87C45" w:rsidRDefault="00C87C45" w:rsidP="00CA70BF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Формування гнучкого простору є одним з найважливіших аспектів при </w:t>
      </w:r>
      <w:proofErr w:type="spellStart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проєктуванні</w:t>
      </w:r>
      <w:proofErr w:type="spellEnd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. Передбачається створення просторів, які легко можна адаптувати під різні потреби – освітні семінари, виставки, </w:t>
      </w:r>
      <w:proofErr w:type="spellStart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коворкінги</w:t>
      </w:r>
      <w:proofErr w:type="spellEnd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, 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lastRenderedPageBreak/>
        <w:t>зустрічі. Щоб досягти такої мети використовують модульні конструкції, меблі, мобільні перегородки.</w:t>
      </w:r>
    </w:p>
    <w:p w14:paraId="47F2FC65" w14:textId="1E6124F1" w:rsidR="00C87C45" w:rsidRPr="00C87C45" w:rsidRDefault="00C87C45" w:rsidP="00CA70BF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Створення інклюзивного простору </w:t>
      </w:r>
      <w:r w:rsidR="00861FA0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гарантує комфорт і доступність для всіх соціальних груп. 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Інклюзивні простори включають в себе </w:t>
      </w:r>
      <w:proofErr w:type="spellStart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безбар’єрне</w:t>
      </w:r>
      <w:proofErr w:type="spellEnd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середовище, створення комфортного середовища для всіх верств населення, використання універсального дизайну.</w:t>
      </w:r>
    </w:p>
    <w:p w14:paraId="4FC99472" w14:textId="1624B209" w:rsidR="00C87C45" w:rsidRPr="00C87C45" w:rsidRDefault="00C87C45" w:rsidP="00CA70BF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0"/>
          <w:szCs w:val="20"/>
          <w:lang w:val="uk-UA"/>
        </w:rPr>
      </w:pPr>
      <w:proofErr w:type="spellStart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Інноваційність</w:t>
      </w:r>
      <w:proofErr w:type="spellEnd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– розширення можливостей культурно-громадського центру. </w:t>
      </w:r>
      <w:r w:rsidR="00861FA0">
        <w:rPr>
          <w:rFonts w:ascii="Times New Roman" w:eastAsia="Arial" w:hAnsi="Times New Roman" w:cs="Times New Roman"/>
          <w:sz w:val="20"/>
          <w:szCs w:val="20"/>
          <w:lang w:val="uk-UA"/>
        </w:rPr>
        <w:t>Застосування «розумних» систем освітлення, навігації, мультимедійних технологій та просторів урізноманітнює досвід відвідувачів.</w:t>
      </w:r>
      <w:r w:rsidR="00DA3C2A" w:rsidRPr="00DA3C2A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</w:p>
    <w:p w14:paraId="0350A685" w14:textId="522532A7" w:rsidR="00C87C45" w:rsidRPr="00C87C45" w:rsidRDefault="00C87C45" w:rsidP="00CA70BF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Соціальна відкритість є ключовим фактором створення культурно-громадського центру. </w:t>
      </w:r>
      <w:r w:rsidR="00861FA0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Передбачається створення дружнього громадських просторів, направлених на 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об’єднання людей – бібліотека, кафе, коворкінг, виставкові зали, це відкриті простори, що сприяють єднанню та спілкуванню людей.</w:t>
      </w:r>
      <w:r w:rsidR="00DA3C2A" w:rsidRPr="00DA3C2A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</w:p>
    <w:p w14:paraId="4810EC45" w14:textId="764B45DD" w:rsidR="00C87C45" w:rsidRPr="00C87C45" w:rsidRDefault="00C87C45" w:rsidP="00CA70BF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Принципи сталого розвитку дуже актуальні при </w:t>
      </w:r>
      <w:proofErr w:type="spellStart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проєктуванні</w:t>
      </w:r>
      <w:proofErr w:type="spellEnd"/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будь-якої типології в сьогоденні. Вони повинні враховувати енергоефективність, використовувати відновлювальні джерела, екологічні матеріали, інтеграція з природнім середовищем. </w:t>
      </w:r>
    </w:p>
    <w:p w14:paraId="4C44F680" w14:textId="2498885C" w:rsidR="00C87C45" w:rsidRPr="00C87C45" w:rsidRDefault="00C87C45" w:rsidP="00CA70BF">
      <w:pPr>
        <w:pStyle w:val="a7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Громадський центр є обличчям міста, його архітектурні рішення відображають історію, культуру, унікальність місця та контекст, в якому він знаходиться, уникаючи типових рішень та уніфікації.</w:t>
      </w:r>
    </w:p>
    <w:p w14:paraId="095BDC34" w14:textId="4E74F0AE" w:rsidR="00C87C45" w:rsidRPr="00C87C45" w:rsidRDefault="00C87C45" w:rsidP="00CA70B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0"/>
          <w:szCs w:val="20"/>
          <w:lang w:val="uk-UA"/>
        </w:rPr>
      </w:pP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Культурно-громадські центри є невід’ємною частиною міста завдяки своїй універсальності. Громадський центр поєднує в собі культуру, просвіту</w:t>
      </w:r>
      <w:r w:rsidR="00861FA0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, 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рекреацію</w:t>
      </w:r>
      <w:r w:rsidR="00861FA0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та соціальний напрямок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.</w:t>
      </w:r>
      <w:r w:rsidR="00861FA0">
        <w:rPr>
          <w:rFonts w:ascii="Times New Roman" w:eastAsia="Arial" w:hAnsi="Times New Roman" w:cs="Times New Roman"/>
          <w:sz w:val="20"/>
          <w:szCs w:val="20"/>
          <w:lang w:val="uk-UA"/>
        </w:rPr>
        <w:t xml:space="preserve"> </w:t>
      </w:r>
      <w:r w:rsidRPr="00C87C45">
        <w:rPr>
          <w:rFonts w:ascii="Times New Roman" w:eastAsia="Arial" w:hAnsi="Times New Roman" w:cs="Times New Roman"/>
          <w:sz w:val="20"/>
          <w:szCs w:val="20"/>
          <w:lang w:val="uk-UA"/>
        </w:rPr>
        <w:t>Дана типологія є інструментом діалогу та впливу між минулим та майбутнім, містом та людиною, природою та людиною.</w:t>
      </w:r>
    </w:p>
    <w:p w14:paraId="561573CC" w14:textId="77777777" w:rsidR="00C87C45" w:rsidRDefault="00C87C45" w:rsidP="00CA70B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0A2C1C" w14:textId="3D443707" w:rsidR="00D638F6" w:rsidRPr="00D638F6" w:rsidRDefault="00D638F6" w:rsidP="00DA3C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  <w:lang w:val="uk-UA"/>
        </w:rPr>
      </w:pPr>
      <w:r w:rsidRPr="00D638F6">
        <w:rPr>
          <w:rFonts w:ascii="Times New Roman" w:hAnsi="Times New Roman" w:cs="Times New Roman"/>
          <w:sz w:val="18"/>
          <w:szCs w:val="18"/>
        </w:rPr>
        <w:t>1.</w:t>
      </w:r>
      <w:proofErr w:type="spellStart"/>
      <w:r>
        <w:rPr>
          <w:rFonts w:ascii="Times New Roman" w:hAnsi="Times New Roman" w:cs="Times New Roman"/>
          <w:sz w:val="18"/>
          <w:szCs w:val="18"/>
          <w:lang w:val="uk-UA"/>
        </w:rPr>
        <w:t>Проєктування</w:t>
      </w:r>
      <w:proofErr w:type="spellEnd"/>
      <w:r>
        <w:rPr>
          <w:rFonts w:ascii="Times New Roman" w:hAnsi="Times New Roman" w:cs="Times New Roman"/>
          <w:sz w:val="18"/>
          <w:szCs w:val="18"/>
          <w:lang w:val="uk-UA"/>
        </w:rPr>
        <w:t xml:space="preserve"> культурних центрів: посібник – «</w:t>
      </w:r>
      <w:r>
        <w:rPr>
          <w:rFonts w:ascii="Times New Roman" w:hAnsi="Times New Roman" w:cs="Times New Roman"/>
          <w:sz w:val="18"/>
          <w:szCs w:val="18"/>
          <w:lang w:val="en-US"/>
        </w:rPr>
        <w:t>U</w:t>
      </w:r>
      <w:r w:rsidRPr="00D638F6">
        <w:rPr>
          <w:rFonts w:ascii="Times New Roman" w:hAnsi="Times New Roman" w:cs="Times New Roman"/>
          <w:sz w:val="18"/>
          <w:szCs w:val="18"/>
          <w:lang w:val="ru-RU"/>
        </w:rPr>
        <w:t>-</w:t>
      </w:r>
      <w:r>
        <w:rPr>
          <w:rFonts w:ascii="Times New Roman" w:hAnsi="Times New Roman" w:cs="Times New Roman"/>
          <w:sz w:val="18"/>
          <w:szCs w:val="18"/>
          <w:lang w:val="en-US"/>
        </w:rPr>
        <w:t>LEAD</w:t>
      </w:r>
      <w:r w:rsidRPr="00D638F6">
        <w:rPr>
          <w:rFonts w:ascii="Times New Roman" w:hAnsi="Times New Roman" w:cs="Times New Roman"/>
          <w:sz w:val="18"/>
          <w:szCs w:val="18"/>
          <w:lang w:val="ru-RU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val="uk-UA"/>
        </w:rPr>
        <w:t xml:space="preserve">з Європою», 2021. – 132с.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D638F6">
        <w:rPr>
          <w:rFonts w:ascii="Times New Roman" w:hAnsi="Times New Roman" w:cs="Times New Roman"/>
          <w:sz w:val="18"/>
          <w:szCs w:val="18"/>
        </w:rPr>
        <w:t>2. Community Center – Public Architecture: Exploring the Essence of Inclusive Spaces. </w:t>
      </w:r>
      <w:r w:rsidRPr="00D638F6">
        <w:rPr>
          <w:rFonts w:ascii="Times New Roman" w:hAnsi="Times New Roman" w:cs="Times New Roman"/>
          <w:i/>
          <w:iCs/>
          <w:sz w:val="18"/>
          <w:szCs w:val="18"/>
        </w:rPr>
        <w:t>Rethink The Future</w:t>
      </w:r>
      <w:r w:rsidRPr="00D638F6">
        <w:rPr>
          <w:rFonts w:ascii="Times New Roman" w:hAnsi="Times New Roman" w:cs="Times New Roman"/>
          <w:sz w:val="18"/>
          <w:szCs w:val="18"/>
        </w:rPr>
        <w:t>.</w:t>
      </w:r>
      <w:hyperlink r:id="rId5" w:anchor="google_vignette" w:history="1">
        <w:r w:rsidRPr="00D638F6">
          <w:rPr>
            <w:rStyle w:val="ad"/>
            <w:rFonts w:ascii="Times New Roman" w:hAnsi="Times New Roman" w:cs="Times New Roman"/>
            <w:sz w:val="18"/>
            <w:szCs w:val="18"/>
          </w:rPr>
          <w:t>https://www.re-thinkingthefuture.com/articles/community-center-public-architecture/#google_vignette</w:t>
        </w:r>
      </w:hyperlink>
      <w:r w:rsidRPr="00D638F6">
        <w:rPr>
          <w:rFonts w:ascii="Times New Roman" w:hAnsi="Times New Roman" w:cs="Times New Roman"/>
          <w:sz w:val="18"/>
          <w:szCs w:val="18"/>
        </w:rPr>
        <w:t>.</w:t>
      </w:r>
    </w:p>
    <w:sectPr w:rsidR="00D638F6" w:rsidRPr="00D638F6" w:rsidSect="00747B7F">
      <w:pgSz w:w="8391" w:h="11906" w:code="11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4E714E"/>
    <w:multiLevelType w:val="hybridMultilevel"/>
    <w:tmpl w:val="1BC23A64"/>
    <w:lvl w:ilvl="0" w:tplc="91FA8E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805598"/>
    <w:multiLevelType w:val="hybridMultilevel"/>
    <w:tmpl w:val="19981FFC"/>
    <w:lvl w:ilvl="0" w:tplc="79286216">
      <w:start w:val="1"/>
      <w:numFmt w:val="decimal"/>
      <w:lvlText w:val="%1."/>
      <w:lvlJc w:val="left"/>
      <w:pPr>
        <w:ind w:left="1155" w:hanging="360"/>
      </w:pPr>
      <w:rPr>
        <w:rFonts w:ascii="Times New Roman" w:eastAsia="Arial" w:hAnsi="Times New Roman" w:cs="Times New Roman"/>
      </w:rPr>
    </w:lvl>
    <w:lvl w:ilvl="1" w:tplc="2000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DE1"/>
    <w:rsid w:val="0001472C"/>
    <w:rsid w:val="00143679"/>
    <w:rsid w:val="001A5DE1"/>
    <w:rsid w:val="00504DE7"/>
    <w:rsid w:val="00690E03"/>
    <w:rsid w:val="00747B7F"/>
    <w:rsid w:val="00806C69"/>
    <w:rsid w:val="008312B2"/>
    <w:rsid w:val="0085600B"/>
    <w:rsid w:val="00861FA0"/>
    <w:rsid w:val="00910EBC"/>
    <w:rsid w:val="009F09F1"/>
    <w:rsid w:val="00A25595"/>
    <w:rsid w:val="00AE10A9"/>
    <w:rsid w:val="00C4178A"/>
    <w:rsid w:val="00C56D80"/>
    <w:rsid w:val="00C85D27"/>
    <w:rsid w:val="00C87C45"/>
    <w:rsid w:val="00CA70BF"/>
    <w:rsid w:val="00D638F6"/>
    <w:rsid w:val="00DA3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4CFCB"/>
  <w15:chartTrackingRefBased/>
  <w15:docId w15:val="{418B4ADF-E5DD-4565-8FA5-608E43C3D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A5D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D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D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D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D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D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D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D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5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A5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A5DE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A5DE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A5DE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A5DE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A5DE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A5DE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A5DE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A5D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A5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D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A5D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A5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A5DE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A5DE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A5DE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A5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A5DE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A5DE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87C45"/>
    <w:pPr>
      <w:spacing w:after="0" w:line="240" w:lineRule="auto"/>
    </w:pPr>
    <w:rPr>
      <w:rFonts w:eastAsiaTheme="minorEastAsia"/>
      <w:sz w:val="24"/>
      <w:szCs w:val="24"/>
      <w:lang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D638F6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D638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re-thinkingthefuture.com/articles/community-center-public-architectu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UserOk</cp:lastModifiedBy>
  <cp:revision>2</cp:revision>
  <dcterms:created xsi:type="dcterms:W3CDTF">2025-11-13T12:44:00Z</dcterms:created>
  <dcterms:modified xsi:type="dcterms:W3CDTF">2025-11-13T12:44:00Z</dcterms:modified>
</cp:coreProperties>
</file>