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BC82B" w14:textId="7DD13971" w:rsidR="00AD62DB" w:rsidRPr="00E859FA" w:rsidRDefault="00C87E4A" w:rsidP="00E859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УДК</w:t>
      </w:r>
      <w:r w:rsidR="0061722D"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624, 627</w:t>
      </w:r>
    </w:p>
    <w:p w14:paraId="5E95AB25" w14:textId="77777777" w:rsidR="00E859FA" w:rsidRPr="00E859FA" w:rsidRDefault="00E859FA" w:rsidP="00E859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B2A69C3" w14:textId="77777777" w:rsidR="00E859FA" w:rsidRPr="00E859FA" w:rsidRDefault="00AD62DB" w:rsidP="00E859F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Застосування </w:t>
      </w:r>
      <w:proofErr w:type="spellStart"/>
      <w:r w:rsidRPr="00E859FA">
        <w:rPr>
          <w:rFonts w:ascii="Times New Roman" w:eastAsia="Calibri" w:hAnsi="Times New Roman" w:cs="Times New Roman"/>
          <w:b/>
          <w:sz w:val="20"/>
          <w:szCs w:val="20"/>
          <w:lang w:val="uk-UA"/>
        </w:rPr>
        <w:t>геосинтетичних</w:t>
      </w:r>
      <w:proofErr w:type="spellEnd"/>
      <w:r w:rsidRPr="00E859FA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матеріалів для </w:t>
      </w:r>
      <w:proofErr w:type="spellStart"/>
      <w:r w:rsidRPr="00E859FA">
        <w:rPr>
          <w:rFonts w:ascii="Times New Roman" w:eastAsia="Calibri" w:hAnsi="Times New Roman" w:cs="Times New Roman"/>
          <w:b/>
          <w:sz w:val="20"/>
          <w:szCs w:val="20"/>
          <w:lang w:val="uk-UA"/>
        </w:rPr>
        <w:t>берегоукріплюючих</w:t>
      </w:r>
      <w:proofErr w:type="spellEnd"/>
      <w:r w:rsidRPr="00E859FA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споруд</w:t>
      </w:r>
      <w:r w:rsidR="00E859FA"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 xml:space="preserve"> </w:t>
      </w:r>
    </w:p>
    <w:p w14:paraId="6556E413" w14:textId="77777777" w:rsidR="00E859FA" w:rsidRPr="00E859FA" w:rsidRDefault="00E859FA" w:rsidP="00E859F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</w:pPr>
    </w:p>
    <w:p w14:paraId="2C88749A" w14:textId="352847CA" w:rsidR="00AD62DB" w:rsidRPr="00E859FA" w:rsidRDefault="00E859FA" w:rsidP="00E859FA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proofErr w:type="spellStart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>Application</w:t>
      </w:r>
      <w:proofErr w:type="spellEnd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>of</w:t>
      </w:r>
      <w:proofErr w:type="spellEnd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>geosynthetic</w:t>
      </w:r>
      <w:proofErr w:type="spellEnd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>materials</w:t>
      </w:r>
      <w:proofErr w:type="spellEnd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>for</w:t>
      </w:r>
      <w:proofErr w:type="spellEnd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>shoreline</w:t>
      </w:r>
      <w:proofErr w:type="spellEnd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>protection</w:t>
      </w:r>
      <w:proofErr w:type="spellEnd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color w:val="1F1F1F"/>
          <w:sz w:val="20"/>
          <w:szCs w:val="20"/>
          <w:lang w:val="uk-UA"/>
        </w:rPr>
        <w:t>structures</w:t>
      </w:r>
      <w:proofErr w:type="spellEnd"/>
    </w:p>
    <w:p w14:paraId="560493C4" w14:textId="77777777" w:rsidR="00E62541" w:rsidRPr="00E859FA" w:rsidRDefault="00E62541" w:rsidP="00E859FA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caps/>
          <w:sz w:val="20"/>
          <w:szCs w:val="20"/>
          <w:lang w:val="uk-UA"/>
        </w:rPr>
      </w:pPr>
    </w:p>
    <w:p w14:paraId="08A59BB3" w14:textId="77777777" w:rsidR="00C87E4A" w:rsidRPr="00E859FA" w:rsidRDefault="000778F3" w:rsidP="00E859F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А.М.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C87E4A" w:rsidRPr="00E859FA">
        <w:rPr>
          <w:rFonts w:ascii="Times New Roman" w:hAnsi="Times New Roman" w:cs="Times New Roman"/>
          <w:b/>
          <w:sz w:val="20"/>
          <w:szCs w:val="20"/>
          <w:lang w:val="uk-UA"/>
        </w:rPr>
        <w:t>Онищенко</w:t>
      </w:r>
      <w:r w:rsidR="00C87E4A"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,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д.т.н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.,</w:t>
      </w:r>
      <w:r w:rsidR="00E62541"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C87E4A"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професор, 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(</w:t>
      </w:r>
      <w:r w:rsidR="00C87E4A"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Національний транспортний університет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)</w:t>
      </w:r>
      <w:r w:rsidR="00E62541"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, </w:t>
      </w:r>
      <w:r w:rsidRPr="00E859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uk-UA" w:eastAsia="ru-RU"/>
        </w:rPr>
        <w:t xml:space="preserve">С.М. </w:t>
      </w:r>
      <w:proofErr w:type="spellStart"/>
      <w:r w:rsidRPr="00E859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uk-UA" w:eastAsia="ru-RU"/>
        </w:rPr>
        <w:t>Ворошнов</w:t>
      </w:r>
      <w:proofErr w:type="spellEnd"/>
      <w:r w:rsidR="00C87E4A" w:rsidRPr="00E859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uk-UA" w:eastAsia="ru-RU"/>
        </w:rPr>
        <w:t>,</w:t>
      </w:r>
      <w:r w:rsidR="00C87E4A" w:rsidRPr="00E859F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uk-UA" w:eastAsia="ru-RU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uk-UA" w:eastAsia="ru-RU"/>
        </w:rPr>
        <w:t>к.т.н</w:t>
      </w:r>
      <w:proofErr w:type="spellEnd"/>
      <w:r w:rsidRPr="00E859F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uk-UA" w:eastAsia="ru-RU"/>
        </w:rPr>
        <w:t>.</w:t>
      </w:r>
      <w:r w:rsidR="00C87E4A" w:rsidRPr="00E859F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uk-UA" w:eastAsia="ru-RU"/>
        </w:rPr>
        <w:t xml:space="preserve">, доцент, </w:t>
      </w:r>
      <w:r w:rsidRPr="00E859F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uk-UA" w:eastAsia="ru-RU"/>
        </w:rPr>
        <w:t>(</w:t>
      </w:r>
      <w:r w:rsidR="00C87E4A"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Націон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альний транспортний університет)</w:t>
      </w:r>
      <w:r w:rsidR="00E62541"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, 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Н.П.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Чиженко</w:t>
      </w:r>
      <w:proofErr w:type="spellEnd"/>
      <w:r w:rsidR="00C87E4A"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,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к.т.н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., доцент,</w:t>
      </w:r>
      <w:r w:rsidR="00E62541"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(</w:t>
      </w:r>
      <w:r w:rsidR="00C87E4A"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Націон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альний транспортний університет)</w:t>
      </w:r>
    </w:p>
    <w:p w14:paraId="5452DF2B" w14:textId="77777777" w:rsidR="000778F3" w:rsidRPr="00E859FA" w:rsidRDefault="000778F3" w:rsidP="00E859F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14:paraId="0A4856DB" w14:textId="77777777" w:rsidR="00E62541" w:rsidRPr="00E859FA" w:rsidRDefault="00E62541" w:rsidP="00E859F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859FA">
        <w:rPr>
          <w:rStyle w:val="y2iqfc"/>
          <w:rFonts w:ascii="Times New Roman" w:hAnsi="Times New Roman" w:cs="Times New Roman"/>
          <w:b/>
          <w:color w:val="202124"/>
          <w:sz w:val="20"/>
          <w:szCs w:val="20"/>
          <w:lang w:val="uk-UA"/>
        </w:rPr>
        <w:t>А.M.</w:t>
      </w:r>
      <w:r w:rsidRPr="00E859FA">
        <w:rPr>
          <w:rFonts w:ascii="Times New Roman" w:hAnsi="Times New Roman" w:cs="Times New Roman"/>
          <w:b/>
          <w:color w:val="231F20"/>
          <w:sz w:val="20"/>
          <w:szCs w:val="20"/>
          <w:lang w:val="uk-UA"/>
        </w:rPr>
        <w:t xml:space="preserve"> </w:t>
      </w:r>
      <w:proofErr w:type="spellStart"/>
      <w:r w:rsidR="00C87E4A" w:rsidRPr="00E859FA">
        <w:rPr>
          <w:rFonts w:ascii="Times New Roman" w:hAnsi="Times New Roman" w:cs="Times New Roman"/>
          <w:b/>
          <w:color w:val="231F20"/>
          <w:sz w:val="20"/>
          <w:szCs w:val="20"/>
          <w:lang w:val="uk-UA"/>
        </w:rPr>
        <w:t>Onyshchenko</w:t>
      </w:r>
      <w:proofErr w:type="spellEnd"/>
      <w:r w:rsidR="00C87E4A" w:rsidRPr="00E859FA">
        <w:rPr>
          <w:rFonts w:ascii="Times New Roman" w:hAnsi="Times New Roman" w:cs="Times New Roman"/>
          <w:b/>
          <w:color w:val="231F20"/>
          <w:sz w:val="20"/>
          <w:szCs w:val="20"/>
          <w:lang w:val="uk-UA"/>
        </w:rPr>
        <w:t xml:space="preserve">,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D.Sc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.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in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Engineering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,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Professor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="00C87E4A"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(</w:t>
      </w:r>
      <w:proofErr w:type="spellStart"/>
      <w:r w:rsidR="00C87E4A" w:rsidRPr="00E859FA">
        <w:rPr>
          <w:rFonts w:ascii="Times New Roman" w:hAnsi="Times New Roman" w:cs="Times New Roman"/>
          <w:b/>
          <w:sz w:val="20"/>
          <w:szCs w:val="20"/>
          <w:lang w:val="uk-UA"/>
        </w:rPr>
        <w:t>Nat</w:t>
      </w:r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ional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Transportation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University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), </w:t>
      </w:r>
      <w:r w:rsidRPr="00E859FA">
        <w:rPr>
          <w:rFonts w:ascii="Times New Roman" w:hAnsi="Times New Roman" w:cs="Times New Roman"/>
          <w:b/>
          <w:spacing w:val="1"/>
          <w:sz w:val="20"/>
          <w:szCs w:val="20"/>
          <w:lang w:val="uk-UA"/>
        </w:rPr>
        <w:t>S.</w:t>
      </w:r>
      <w:r w:rsidRPr="00E859FA">
        <w:rPr>
          <w:rStyle w:val="y2iqfc"/>
          <w:rFonts w:ascii="Times New Roman" w:hAnsi="Times New Roman" w:cs="Times New Roman"/>
          <w:b/>
          <w:color w:val="202124"/>
          <w:sz w:val="20"/>
          <w:szCs w:val="20"/>
          <w:lang w:val="uk-UA"/>
        </w:rPr>
        <w:t xml:space="preserve">M. </w:t>
      </w:r>
      <w:proofErr w:type="spellStart"/>
      <w:r w:rsidRPr="00E859FA">
        <w:rPr>
          <w:rFonts w:ascii="Times New Roman" w:hAnsi="Times New Roman" w:cs="Times New Roman"/>
          <w:b/>
          <w:spacing w:val="1"/>
          <w:sz w:val="20"/>
          <w:szCs w:val="20"/>
          <w:lang w:val="uk-UA"/>
        </w:rPr>
        <w:t>Voroshnov</w:t>
      </w:r>
      <w:proofErr w:type="spellEnd"/>
      <w:r w:rsidR="00C87E4A" w:rsidRPr="00E859FA">
        <w:rPr>
          <w:rFonts w:ascii="Times New Roman" w:hAnsi="Times New Roman" w:cs="Times New Roman"/>
          <w:b/>
          <w:color w:val="231F20"/>
          <w:sz w:val="20"/>
          <w:szCs w:val="20"/>
          <w:lang w:val="uk-UA"/>
        </w:rPr>
        <w:t>,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Ph.D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.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in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Engineering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,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Associate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Professor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(</w:t>
      </w:r>
      <w:proofErr w:type="spellStart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National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Transportation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University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), </w:t>
      </w:r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E859FA">
        <w:rPr>
          <w:rFonts w:ascii="Times New Roman" w:hAnsi="Times New Roman" w:cs="Times New Roman"/>
          <w:b/>
          <w:spacing w:val="1"/>
          <w:sz w:val="20"/>
          <w:szCs w:val="20"/>
          <w:lang w:val="uk-UA"/>
        </w:rPr>
        <w:t xml:space="preserve">N.P. </w:t>
      </w:r>
      <w:proofErr w:type="spellStart"/>
      <w:r w:rsidR="00C87E4A" w:rsidRPr="00E859FA">
        <w:rPr>
          <w:rFonts w:ascii="Times New Roman" w:hAnsi="Times New Roman" w:cs="Times New Roman"/>
          <w:b/>
          <w:spacing w:val="1"/>
          <w:sz w:val="20"/>
          <w:szCs w:val="20"/>
          <w:lang w:val="uk-UA"/>
        </w:rPr>
        <w:t>Chyzhenko</w:t>
      </w:r>
      <w:proofErr w:type="spellEnd"/>
      <w:r w:rsidR="00C87E4A" w:rsidRPr="00E859FA">
        <w:rPr>
          <w:rFonts w:ascii="Times New Roman" w:hAnsi="Times New Roman" w:cs="Times New Roman"/>
          <w:b/>
          <w:spacing w:val="1"/>
          <w:sz w:val="20"/>
          <w:szCs w:val="20"/>
          <w:lang w:val="uk-UA"/>
        </w:rPr>
        <w:t xml:space="preserve">,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Ph.D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.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in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Engineering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,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Associate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proofErr w:type="spellStart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Professor</w:t>
      </w:r>
      <w:proofErr w:type="spellEnd"/>
      <w:r w:rsidRPr="00E859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(</w:t>
      </w:r>
      <w:proofErr w:type="spellStart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National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Transportation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University</w:t>
      </w:r>
      <w:proofErr w:type="spellEnd"/>
      <w:r w:rsidRPr="00E859FA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</w:p>
    <w:p w14:paraId="1438C80F" w14:textId="77777777" w:rsidR="005C40EB" w:rsidRPr="00E859FA" w:rsidRDefault="005C40EB" w:rsidP="00E859F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5628E9A" w14:textId="77777777" w:rsidR="00E859FA" w:rsidRPr="00E859FA" w:rsidRDefault="00D01BE8" w:rsidP="00E859FA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</w:pPr>
      <w:r w:rsidRPr="00E859FA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Наведено застосування </w:t>
      </w:r>
      <w:proofErr w:type="spellStart"/>
      <w:r w:rsidRPr="00E859FA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геосентетичних</w:t>
      </w:r>
      <w:proofErr w:type="spellEnd"/>
      <w:r w:rsidRPr="00E859FA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матеріалів  для </w:t>
      </w:r>
      <w:proofErr w:type="spellStart"/>
      <w:r w:rsidRPr="00E859FA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берегоукріплюючих</w:t>
      </w:r>
      <w:proofErr w:type="spellEnd"/>
      <w:r w:rsidRPr="00E859FA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споруд враховуючи умови експлуатації споруди та особливості матеріалу.</w:t>
      </w:r>
      <w:r w:rsidR="00E859FA"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</w:p>
    <w:p w14:paraId="2E71E72D" w14:textId="77777777" w:rsidR="00E859FA" w:rsidRPr="00E859FA" w:rsidRDefault="00E859FA" w:rsidP="00E859FA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</w:pPr>
    </w:p>
    <w:p w14:paraId="615F9946" w14:textId="610596AA" w:rsidR="00AD62DB" w:rsidRPr="00E859FA" w:rsidRDefault="00E859FA" w:rsidP="00E859F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The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application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of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geosynthetic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materials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for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shoreline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protection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structures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is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presented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,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taking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into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account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the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operating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conditions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of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the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structure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and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the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characteristics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of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the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 xml:space="preserve"> </w:t>
      </w:r>
      <w:proofErr w:type="spellStart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material</w:t>
      </w:r>
      <w:proofErr w:type="spellEnd"/>
      <w:r w:rsidRPr="00E859FA">
        <w:rPr>
          <w:rFonts w:ascii="Times New Roman" w:hAnsi="Times New Roman" w:cs="Times New Roman"/>
          <w:i/>
          <w:color w:val="1F1F1F"/>
          <w:sz w:val="18"/>
          <w:szCs w:val="18"/>
          <w:lang w:val="uk-UA"/>
        </w:rPr>
        <w:t>.</w:t>
      </w:r>
    </w:p>
    <w:p w14:paraId="1D0C105D" w14:textId="77777777" w:rsidR="00D01BE8" w:rsidRPr="00E859FA" w:rsidRDefault="00D01BE8" w:rsidP="00E859FA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72DC85C4" w14:textId="62BE8702" w:rsidR="001E1F6E" w:rsidRPr="00E859FA" w:rsidRDefault="00C64612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Берегоукріплювальні споруди з використанням </w:t>
      </w:r>
      <w:proofErr w:type="spellStart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геосинтетичних</w:t>
      </w:r>
      <w:proofErr w:type="spellEnd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 матеріалів – це сучасні інженерні рішення для захисту берегів від руйнування хвилями та течіями, які включають використання </w:t>
      </w:r>
      <w:proofErr w:type="spellStart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геотекстилю</w:t>
      </w:r>
      <w:proofErr w:type="spellEnd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габіонів</w:t>
      </w:r>
      <w:proofErr w:type="spellEnd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георешіток</w:t>
      </w:r>
      <w:proofErr w:type="spellEnd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геокомпозитів</w:t>
      </w:r>
      <w:proofErr w:type="spellEnd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 та інших синтетичних матеріалів для армування, армування та дренажу. Такі споруди ефективні, довговічні та </w:t>
      </w:r>
      <w:proofErr w:type="spellStart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екологічніші</w:t>
      </w:r>
      <w:proofErr w:type="spellEnd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 за традиційні методи, а </w:t>
      </w:r>
      <w:proofErr w:type="spellStart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>геосинтетики</w:t>
      </w:r>
      <w:proofErr w:type="spellEnd"/>
      <w:r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 забезпечують необхідну міцність, гнучкість та стабільність укріплення</w:t>
      </w:r>
      <w:r w:rsidR="00E859FA" w:rsidRPr="00E859FA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  <w:lang w:val="uk-UA"/>
        </w:rPr>
        <w:t xml:space="preserve"> </w:t>
      </w:r>
      <w:r w:rsidR="00D579F3"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[1-6].</w:t>
      </w:r>
    </w:p>
    <w:p w14:paraId="1104A312" w14:textId="77777777" w:rsidR="001E1F6E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Геосинтетики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виконують сім основних функцій в конструкції: армування; дренування; захищання; ізолювання; протиерозійний захист; розділяння; фільтрування.</w:t>
      </w:r>
    </w:p>
    <w:p w14:paraId="79F0AE8B" w14:textId="77777777" w:rsidR="001E1F6E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Термін служби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геосинтетичних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матеріалів повинен перевищувати термін служби конструкцій, в яких вони застосовуються.</w:t>
      </w:r>
    </w:p>
    <w:p w14:paraId="216515DD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highlight w:val="green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Схеми закладання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геосинтетичних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матеріалів для протиерозійного захисту розрізняють для систем постійної дії з жорстким кріпленням і з використанням об’ємних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геоматів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геосот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тощо згідно </w:t>
      </w:r>
      <w:r w:rsidR="006C5534"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[1]. </w:t>
      </w: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Конструктивні </w:t>
      </w: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lastRenderedPageBreak/>
        <w:t>рішення, які застосовують для протиерозійного захисту постійної дії з жорстким укріпленням, поділяють на :</w:t>
      </w:r>
    </w:p>
    <w:p w14:paraId="3E04936E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— захист укосів </w:t>
      </w:r>
      <w:proofErr w:type="spellStart"/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>потоконаправляючих</w:t>
      </w:r>
      <w:proofErr w:type="spellEnd"/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дамб;</w:t>
      </w:r>
    </w:p>
    <w:p w14:paraId="5098BC20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— захист укосів від дії </w:t>
      </w:r>
      <w:proofErr w:type="spellStart"/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>набігаючих</w:t>
      </w:r>
      <w:proofErr w:type="spellEnd"/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хвиль;</w:t>
      </w:r>
    </w:p>
    <w:p w14:paraId="0E75F750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>— захист канав поверхневого водовідводу;</w:t>
      </w:r>
    </w:p>
    <w:p w14:paraId="5E9D69D0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>— захист основ фундаментів від розмивання;</w:t>
      </w:r>
    </w:p>
    <w:p w14:paraId="57F141C7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При поєднанні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геосинтетика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з зернистим чи монолітним шаром утворюється новий композитний матеріал, який поєднує в собі характеристики вихідних матеріалів.</w:t>
      </w:r>
    </w:p>
    <w:p w14:paraId="5D755ABD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Протиерозійний захист постійної дії з використанням об’ємних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геоматів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геосот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застосовують у водовідвідних канавах, на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крутонахилених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водовипусках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і при захисті укосів насипів (виїмок) від ерозії інтенсивними атмосферними опадами. Тримірні протиерозійні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геомати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є ефективними для захисту в умовах нетривалих до 2 годин злив, і швидкості потоку води до (5 — 6) м/с. В умовах довготривалого потоку більш ефективними є жорстко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армуючі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протиерозійні системи. При перевищенні крутизни укосів насипів або виїмок більше за нормативну, необхідно передбачати заходи укріплення укосів з використанням протиерозійних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геоматів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або сіток. Необхідність застосування протиерозійного захисту оцінюють по швидкості потоку і гранулометричному складу ґрунту основи згідно</w:t>
      </w:r>
      <w:r w:rsidR="00AF41F9"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[1].</w:t>
      </w: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Конструктивні рішення з вкладання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полотен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геомата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на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укос</w:t>
      </w:r>
      <w:r w:rsidR="00AF41F9"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і</w:t>
      </w:r>
      <w:proofErr w:type="spellEnd"/>
      <w:r w:rsidR="00AF41F9"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приймають згідно з рис.</w:t>
      </w: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1. Використання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геоматів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можливе в сухих і обводнених умовах. В останньому випадку велике значення має динамічна дія течії чи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набігаючих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хвиль. При вкладанні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полотен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перевагу віддають їх вертикальні</w:t>
      </w:r>
      <w:r w:rsidR="0057522A"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й орієнтації згідно [1].</w:t>
      </w:r>
    </w:p>
    <w:p w14:paraId="7A26F0A1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Геосинтетичні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матеріали, залежно від свого різновиду та конструкції, у якій вони використовуються, можуть виконувати різні функції та їх комбінації.</w:t>
      </w:r>
    </w:p>
    <w:p w14:paraId="42EA46E0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Оснновні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функції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геосинтетичних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матеріалів</w:t>
      </w:r>
      <w:r w:rsidR="00D579F3"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[2]</w:t>
      </w: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:</w:t>
      </w:r>
    </w:p>
    <w:p w14:paraId="30ADD8EA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— розділення;</w:t>
      </w:r>
    </w:p>
    <w:p w14:paraId="1867652C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— ізоляція;</w:t>
      </w:r>
    </w:p>
    <w:p w14:paraId="51A10C7E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— захист;</w:t>
      </w:r>
    </w:p>
    <w:p w14:paraId="2A6930DD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— контроль ерозії;</w:t>
      </w:r>
    </w:p>
    <w:p w14:paraId="20846820" w14:textId="77777777" w:rsidR="001A0268" w:rsidRPr="00E859FA" w:rsidRDefault="001A0268" w:rsidP="00E859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— </w:t>
      </w:r>
      <w:r w:rsidRPr="00E859FA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>фільтрація.</w:t>
      </w:r>
    </w:p>
    <w:p w14:paraId="129B654D" w14:textId="77777777" w:rsidR="005C40EB" w:rsidRPr="00E859FA" w:rsidRDefault="005C40EB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Використання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геотекстилю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зберігає і покращує однорідність і функціональність різних матеріалів. При цьому</w:t>
      </w:r>
      <w:r w:rsidRPr="00E859FA">
        <w:rPr>
          <w:rFonts w:ascii="Times New Roman" w:eastAsia="Arial" w:hAnsi="Times New Roman" w:cs="Times New Roman"/>
          <w:color w:val="222222"/>
          <w:sz w:val="20"/>
          <w:szCs w:val="20"/>
          <w:lang w:val="uk-UA"/>
        </w:rPr>
        <w:t xml:space="preserve"> </w:t>
      </w: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можливі два механізми: коли фракційний матеріал вкладається поверх слабкої </w:t>
      </w:r>
      <w:r w:rsidRPr="00E859FA">
        <w:rPr>
          <w:rFonts w:ascii="Times New Roman" w:eastAsia="Arial" w:hAnsi="Times New Roman" w:cs="Times New Roman"/>
          <w:color w:val="222222"/>
          <w:sz w:val="20"/>
          <w:szCs w:val="20"/>
          <w:lang w:val="uk-UA"/>
        </w:rPr>
        <w:t>ґ</w:t>
      </w: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рунтової основи і коли на фракційний матеріал прикладається вертикальне навантаження.</w:t>
      </w:r>
    </w:p>
    <w:p w14:paraId="6E89EDFF" w14:textId="77777777" w:rsidR="005C40EB" w:rsidRPr="00E859FA" w:rsidRDefault="005C40EB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Геотекстиль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запобігає проникненню фракції в </w:t>
      </w:r>
      <w:r w:rsidRPr="00E859FA">
        <w:rPr>
          <w:rFonts w:ascii="Times New Roman" w:eastAsia="Arial" w:hAnsi="Times New Roman" w:cs="Times New Roman"/>
          <w:color w:val="222222"/>
          <w:sz w:val="20"/>
          <w:szCs w:val="20"/>
          <w:lang w:val="uk-UA"/>
        </w:rPr>
        <w:t>ґ</w:t>
      </w: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рунт слабкої основи.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Геотекстиль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обмежує шар фракційного матеріалу, і завдяки цьому можливо досягти вищого ступеню ущільнення шару і, як наслідок, вищої несучої здатності. </w:t>
      </w:r>
    </w:p>
    <w:p w14:paraId="3C7C443A" w14:textId="77777777" w:rsidR="005C40EB" w:rsidRPr="00E859FA" w:rsidRDefault="005C40EB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lastRenderedPageBreak/>
        <w:t xml:space="preserve">Вдається уникнути забруднення фракційного матеріалу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підстилаючими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ґрунтами і в такий спосіб можливо попередити зниження несучої здатності. </w:t>
      </w:r>
    </w:p>
    <w:p w14:paraId="1A27DAA2" w14:textId="77777777" w:rsidR="005C40EB" w:rsidRPr="00E859FA" w:rsidRDefault="005C40EB" w:rsidP="00E859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3750"/>
      </w:tblGrid>
      <w:tr w:rsidR="005C40EB" w:rsidRPr="00E859FA" w14:paraId="2C4B408D" w14:textId="77777777" w:rsidTr="005C40EB">
        <w:trPr>
          <w:trHeight w:val="1560"/>
        </w:trPr>
        <w:tc>
          <w:tcPr>
            <w:tcW w:w="2747" w:type="dxa"/>
          </w:tcPr>
          <w:p w14:paraId="05FB3360" w14:textId="77777777" w:rsidR="001A0268" w:rsidRPr="00E859FA" w:rsidRDefault="001A0268" w:rsidP="00E859FA">
            <w:pPr>
              <w:ind w:firstLine="4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859F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drawing>
                <wp:inline distT="0" distB="0" distL="0" distR="0" wp14:anchorId="399B3CFC" wp14:editId="137F4FB0">
                  <wp:extent cx="2112263" cy="960120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081" cy="97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2" w:type="dxa"/>
          </w:tcPr>
          <w:p w14:paraId="10EE9809" w14:textId="77777777" w:rsidR="001A0268" w:rsidRPr="00E859FA" w:rsidRDefault="001A0268" w:rsidP="00E859FA">
            <w:pPr>
              <w:ind w:firstLine="4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859F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drawing>
                <wp:inline distT="0" distB="0" distL="0" distR="0" wp14:anchorId="1620D900" wp14:editId="0531821C">
                  <wp:extent cx="3103845" cy="1165860"/>
                  <wp:effectExtent l="0" t="0" r="190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94"/>
                          <a:stretch/>
                        </pic:blipFill>
                        <pic:spPr bwMode="auto">
                          <a:xfrm>
                            <a:off x="0" y="0"/>
                            <a:ext cx="3113145" cy="116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0EB" w:rsidRPr="00E859FA" w14:paraId="66163FF9" w14:textId="77777777" w:rsidTr="005C40EB">
        <w:tc>
          <w:tcPr>
            <w:tcW w:w="2747" w:type="dxa"/>
          </w:tcPr>
          <w:p w14:paraId="5DF82C4D" w14:textId="5F147CEA" w:rsidR="001A0268" w:rsidRPr="00E859FA" w:rsidRDefault="00E859FA" w:rsidP="00E859FA">
            <w:pPr>
              <w:ind w:firstLine="4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                </w:t>
            </w:r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а)</w:t>
            </w:r>
          </w:p>
        </w:tc>
        <w:tc>
          <w:tcPr>
            <w:tcW w:w="3932" w:type="dxa"/>
          </w:tcPr>
          <w:p w14:paraId="14C85FF7" w14:textId="4FBECACD" w:rsidR="001A0268" w:rsidRPr="00E859FA" w:rsidRDefault="00E859FA" w:rsidP="00E859FA">
            <w:pPr>
              <w:ind w:firstLine="4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                                  </w:t>
            </w:r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б)</w:t>
            </w:r>
          </w:p>
        </w:tc>
      </w:tr>
      <w:tr w:rsidR="001A0268" w:rsidRPr="00E859FA" w14:paraId="07FA3B12" w14:textId="77777777" w:rsidTr="005C40EB">
        <w:tc>
          <w:tcPr>
            <w:tcW w:w="6679" w:type="dxa"/>
            <w:gridSpan w:val="2"/>
          </w:tcPr>
          <w:p w14:paraId="7EA12AF7" w14:textId="77777777" w:rsidR="001A0268" w:rsidRPr="00E859FA" w:rsidRDefault="001A0268" w:rsidP="00E859FA">
            <w:pPr>
              <w:ind w:firstLine="42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859F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/>
              </w:rPr>
              <w:drawing>
                <wp:inline distT="0" distB="0" distL="0" distR="0" wp14:anchorId="57592CFC" wp14:editId="71937494">
                  <wp:extent cx="3028950" cy="682790"/>
                  <wp:effectExtent l="0" t="0" r="0" b="317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5455" t="35941" r="39725" b="26117"/>
                          <a:stretch/>
                        </pic:blipFill>
                        <pic:spPr bwMode="auto">
                          <a:xfrm>
                            <a:off x="0" y="0"/>
                            <a:ext cx="3108456" cy="700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268" w:rsidRPr="00E859FA" w14:paraId="416BAE1F" w14:textId="77777777" w:rsidTr="005C40EB">
        <w:tc>
          <w:tcPr>
            <w:tcW w:w="6679" w:type="dxa"/>
            <w:gridSpan w:val="2"/>
          </w:tcPr>
          <w:p w14:paraId="25B8E666" w14:textId="7AB6ED67" w:rsidR="001A0268" w:rsidRPr="00E859FA" w:rsidRDefault="00E859FA" w:rsidP="00E859FA">
            <w:pPr>
              <w:ind w:firstLine="4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</w:t>
            </w:r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в)</w:t>
            </w:r>
          </w:p>
        </w:tc>
      </w:tr>
      <w:tr w:rsidR="001A0268" w:rsidRPr="00E859FA" w14:paraId="38A933B9" w14:textId="77777777" w:rsidTr="005C40EB">
        <w:tc>
          <w:tcPr>
            <w:tcW w:w="6679" w:type="dxa"/>
            <w:gridSpan w:val="2"/>
          </w:tcPr>
          <w:p w14:paraId="5B03B7A6" w14:textId="77777777" w:rsidR="001A0268" w:rsidRPr="00E859FA" w:rsidRDefault="0057522A" w:rsidP="00E859FA">
            <w:pPr>
              <w:ind w:firstLine="4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Рис. </w:t>
            </w:r>
            <w:r w:rsidR="00600093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1.</w:t>
            </w:r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Схеми укладання </w:t>
            </w:r>
            <w:proofErr w:type="spellStart"/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полотен</w:t>
            </w:r>
            <w:proofErr w:type="spellEnd"/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геомата</w:t>
            </w:r>
            <w:proofErr w:type="spellEnd"/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підтоплюваному</w:t>
            </w:r>
            <w:proofErr w:type="spellEnd"/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A0268" w:rsidRPr="00E859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укосі</w:t>
            </w:r>
            <w:proofErr w:type="spellEnd"/>
          </w:p>
        </w:tc>
      </w:tr>
    </w:tbl>
    <w:p w14:paraId="4E320092" w14:textId="77777777" w:rsidR="0065710A" w:rsidRPr="00E859FA" w:rsidRDefault="0065710A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F4CBC00" w14:textId="77777777" w:rsidR="001A0268" w:rsidRPr="00E859FA" w:rsidRDefault="001A0268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Проникнення тонкозернистих ґрунтових частинок у чистий </w:t>
      </w:r>
      <w:proofErr w:type="spellStart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>крупнофракційний</w:t>
      </w:r>
      <w:proofErr w:type="spellEnd"/>
      <w:r w:rsidRPr="00E859F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шар особливо проявляється під динамічним навантаженням і має назву «ефект закачування». Такі тонкозернисті фракції проявляють себе як шар змащування між крупними фракціями й можуть суттєво знизити зчеплення, і, як наслідок, знижується міцність при зсуві матеріалу крупнозернистого шару. Крім того, незабруднений матеріал краще виконує дренажні функції та краще протистоїть ефекту морозного спучування. </w:t>
      </w:r>
    </w:p>
    <w:p w14:paraId="6DD53978" w14:textId="77777777" w:rsidR="006C5534" w:rsidRPr="00E859FA" w:rsidRDefault="006C5534" w:rsidP="00E859FA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80A98F8" w14:textId="0B5284DD" w:rsidR="00C87E4A" w:rsidRPr="00E859FA" w:rsidRDefault="00FE1F80" w:rsidP="00E859F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  <w:r w:rsidRPr="00E859F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val="uk-UA"/>
        </w:rPr>
        <w:t>1</w:t>
      </w:r>
      <w:r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.</w:t>
      </w:r>
      <w:r w:rsidR="006C553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ГБН В.2.3-37641918-544:2014 Автомобільні дороги. Застосування </w:t>
      </w:r>
      <w:proofErr w:type="spellStart"/>
      <w:r w:rsidR="006C553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геосинтетичних</w:t>
      </w:r>
      <w:proofErr w:type="spellEnd"/>
      <w:r w:rsidR="006C553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матеріалів у дорожніх конструкціях. Основні вимоги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2. ДСТУ EN 13251:2017 (EN 13251:2016, IDT) </w:t>
      </w:r>
      <w:proofErr w:type="spellStart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Геотекстиль</w:t>
      </w:r>
      <w:proofErr w:type="spellEnd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та вироби, що належать</w:t>
      </w:r>
      <w:r w:rsidR="00E859FA" w:rsidRPr="00E859F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до </w:t>
      </w:r>
      <w:proofErr w:type="spellStart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геотекстилю</w:t>
      </w:r>
      <w:proofErr w:type="spellEnd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. Характеристики, потрібні</w:t>
      </w:r>
      <w:r w:rsidR="00E859FA" w:rsidRPr="00E859F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для використання під час виконання земляних робіт, будівництва фундаментів та</w:t>
      </w:r>
      <w:r w:rsidR="00E859FA" w:rsidRPr="00E859F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підпірних конструкцій. </w:t>
      </w:r>
      <w:r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3.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Греблі з ґрунтових матеріалів. Загальні</w:t>
      </w:r>
      <w:r w:rsidR="00E859FA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вимоги. ДСТУ ХХХХ:202Х. [Чинні від202Х-0Х-0Х]. - К.: </w:t>
      </w:r>
      <w:proofErr w:type="spellStart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Мінінфраструктури</w:t>
      </w:r>
      <w:proofErr w:type="spellEnd"/>
      <w:r w:rsidR="00E859FA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України, 202Х. ХХ с. (Національний </w:t>
      </w:r>
      <w:proofErr w:type="spellStart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станДарт</w:t>
      </w:r>
      <w:proofErr w:type="spellEnd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України). </w:t>
      </w:r>
      <w:r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4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. Будівлі і споруди в складних інженерно-геологічних умовах. Загальні положення. ДБН В.1.1-45:2017. [Чинні від 2017-11-01]. - К.: </w:t>
      </w:r>
      <w:proofErr w:type="spellStart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Мінрегіон</w:t>
      </w:r>
      <w:proofErr w:type="spellEnd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, 2017. - 43 с. (Державні</w:t>
      </w:r>
      <w:r w:rsidR="00E859FA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будівельні норми України). </w:t>
      </w:r>
      <w:r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5.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Настанова щодо проектування</w:t>
      </w:r>
      <w:r w:rsidR="00D579F3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будівель і споруд на слабких ґрунтах. ДСТУ-Н Б В.1.1-40:2016. [Чинні від2017-04-01]. К.: </w:t>
      </w:r>
      <w:proofErr w:type="spellStart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Мінрегіон</w:t>
      </w:r>
      <w:proofErr w:type="spellEnd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, 2016. - 66 с. (Національний стандарт України). </w:t>
      </w:r>
      <w:r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6.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Настанова щодо інженерного захисту</w:t>
      </w:r>
      <w:r w:rsidR="00E859FA" w:rsidRPr="00E859F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територій, будівель і споруд від зсувів та обвалів. ДСТУ-Н Б В.1.1-37:2016. [Чинні</w:t>
      </w:r>
      <w:r w:rsidR="00E859FA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від 2017-04-01]. - К.: </w:t>
      </w:r>
      <w:proofErr w:type="spellStart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Мінрегіон</w:t>
      </w:r>
      <w:proofErr w:type="spellEnd"/>
      <w:r w:rsidR="009017C4" w:rsidRPr="00E859FA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, 2016. - 89 с. (Національний стандарт України).</w:t>
      </w:r>
    </w:p>
    <w:sectPr w:rsidR="00C87E4A" w:rsidRPr="00E859FA" w:rsidSect="0057522A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AC4"/>
    <w:multiLevelType w:val="hybridMultilevel"/>
    <w:tmpl w:val="E59AE97A"/>
    <w:lvl w:ilvl="0" w:tplc="0AE42C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0ABB"/>
    <w:multiLevelType w:val="hybridMultilevel"/>
    <w:tmpl w:val="7C06859A"/>
    <w:lvl w:ilvl="0" w:tplc="9E664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FD"/>
    <w:rsid w:val="000778F3"/>
    <w:rsid w:val="000814C5"/>
    <w:rsid w:val="00096A40"/>
    <w:rsid w:val="000A0593"/>
    <w:rsid w:val="000E04FD"/>
    <w:rsid w:val="001A0268"/>
    <w:rsid w:val="001E1F6E"/>
    <w:rsid w:val="00212B35"/>
    <w:rsid w:val="002279AF"/>
    <w:rsid w:val="002826A6"/>
    <w:rsid w:val="00396495"/>
    <w:rsid w:val="003C1C5B"/>
    <w:rsid w:val="004F2741"/>
    <w:rsid w:val="005017B9"/>
    <w:rsid w:val="0057522A"/>
    <w:rsid w:val="005C40EB"/>
    <w:rsid w:val="00600093"/>
    <w:rsid w:val="0061722D"/>
    <w:rsid w:val="0065710A"/>
    <w:rsid w:val="006C5534"/>
    <w:rsid w:val="00721467"/>
    <w:rsid w:val="00777975"/>
    <w:rsid w:val="007D2D75"/>
    <w:rsid w:val="007E498D"/>
    <w:rsid w:val="009017C4"/>
    <w:rsid w:val="00957D2F"/>
    <w:rsid w:val="009A2193"/>
    <w:rsid w:val="00A62ECE"/>
    <w:rsid w:val="00AC5530"/>
    <w:rsid w:val="00AD62DB"/>
    <w:rsid w:val="00AF41F9"/>
    <w:rsid w:val="00C32E0A"/>
    <w:rsid w:val="00C64612"/>
    <w:rsid w:val="00C87E4A"/>
    <w:rsid w:val="00D01BE8"/>
    <w:rsid w:val="00D315B7"/>
    <w:rsid w:val="00D579F3"/>
    <w:rsid w:val="00E04121"/>
    <w:rsid w:val="00E62541"/>
    <w:rsid w:val="00E67C66"/>
    <w:rsid w:val="00E859FA"/>
    <w:rsid w:val="00F3194F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4DEF"/>
  <w15:docId w15:val="{715D380F-BF8B-46C7-B5B7-B58EF863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отступом"/>
    <w:basedOn w:val="a"/>
    <w:rsid w:val="00C87E4A"/>
    <w:pPr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y2iqfc">
    <w:name w:val="y2iqfc"/>
    <w:rsid w:val="00C87E4A"/>
  </w:style>
  <w:style w:type="table" w:styleId="a4">
    <w:name w:val="Table Grid"/>
    <w:basedOn w:val="a1"/>
    <w:uiPriority w:val="39"/>
    <w:rsid w:val="001A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C64612"/>
  </w:style>
  <w:style w:type="paragraph" w:styleId="a5">
    <w:name w:val="List Paragraph"/>
    <w:basedOn w:val="a"/>
    <w:uiPriority w:val="34"/>
    <w:qFormat/>
    <w:rsid w:val="006C553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01BE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1BE8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119-b-2</dc:creator>
  <cp:keywords/>
  <dc:description/>
  <cp:lastModifiedBy>UserOk</cp:lastModifiedBy>
  <cp:revision>2</cp:revision>
  <dcterms:created xsi:type="dcterms:W3CDTF">2025-11-20T09:49:00Z</dcterms:created>
  <dcterms:modified xsi:type="dcterms:W3CDTF">2025-11-20T09:49:00Z</dcterms:modified>
</cp:coreProperties>
</file>