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1D3D7" w14:textId="70CE2A1F" w:rsidR="007F2DAC" w:rsidRPr="00481CEF" w:rsidRDefault="00167B13" w:rsidP="007F2DAC">
      <w:pPr>
        <w:rPr>
          <w:b/>
          <w:sz w:val="20"/>
          <w:szCs w:val="20"/>
        </w:rPr>
      </w:pPr>
      <w:r w:rsidRPr="00481CEF">
        <w:rPr>
          <w:b/>
          <w:sz w:val="20"/>
          <w:szCs w:val="20"/>
        </w:rPr>
        <w:t>УДК: 711.4</w:t>
      </w:r>
    </w:p>
    <w:p w14:paraId="3032D46F" w14:textId="77777777" w:rsidR="004A18A2" w:rsidRPr="00481CEF" w:rsidRDefault="004A18A2" w:rsidP="007F2DAC">
      <w:pPr>
        <w:rPr>
          <w:b/>
          <w:sz w:val="20"/>
          <w:szCs w:val="20"/>
        </w:rPr>
      </w:pPr>
    </w:p>
    <w:p w14:paraId="0E189AD4" w14:textId="088089A0" w:rsidR="007F2DAC" w:rsidRPr="00481CEF" w:rsidRDefault="004A18A2" w:rsidP="007F2DAC">
      <w:pPr>
        <w:tabs>
          <w:tab w:val="left" w:pos="0"/>
        </w:tabs>
        <w:jc w:val="center"/>
        <w:rPr>
          <w:b/>
          <w:sz w:val="20"/>
          <w:szCs w:val="20"/>
          <w:lang w:val="uk-UA"/>
        </w:rPr>
      </w:pPr>
      <w:r w:rsidRPr="00481CEF">
        <w:rPr>
          <w:b/>
          <w:sz w:val="20"/>
          <w:szCs w:val="20"/>
          <w:lang w:val="uk-UA"/>
        </w:rPr>
        <w:t>Генеральна схема планування території України</w:t>
      </w:r>
      <w:r w:rsidR="00CD1656">
        <w:rPr>
          <w:b/>
          <w:sz w:val="20"/>
          <w:szCs w:val="20"/>
          <w:lang w:val="uk-UA"/>
        </w:rPr>
        <w:t>: сучасні виклики</w:t>
      </w:r>
    </w:p>
    <w:p w14:paraId="33C424D6" w14:textId="77777777" w:rsidR="007F2DAC" w:rsidRPr="00481CEF" w:rsidRDefault="007F2DAC" w:rsidP="007F2DAC">
      <w:pPr>
        <w:tabs>
          <w:tab w:val="left" w:pos="567"/>
        </w:tabs>
        <w:jc w:val="center"/>
        <w:rPr>
          <w:b/>
          <w:caps/>
          <w:sz w:val="20"/>
          <w:szCs w:val="20"/>
        </w:rPr>
      </w:pPr>
    </w:p>
    <w:p w14:paraId="739A77EE" w14:textId="44B70F9C" w:rsidR="007F2DAC" w:rsidRPr="00481CEF" w:rsidRDefault="00CD1656" w:rsidP="00B92436">
      <w:pPr>
        <w:tabs>
          <w:tab w:val="left" w:pos="0"/>
        </w:tabs>
        <w:jc w:val="center"/>
        <w:rPr>
          <w:b/>
          <w:sz w:val="20"/>
          <w:szCs w:val="20"/>
          <w:lang w:val="en-US"/>
        </w:rPr>
      </w:pPr>
      <w:r w:rsidRPr="00CD1656">
        <w:rPr>
          <w:b/>
          <w:sz w:val="20"/>
          <w:szCs w:val="20"/>
          <w:lang w:val="en-US"/>
        </w:rPr>
        <w:t>General scheme of planning the territory of Ukraine: modern challenges</w:t>
      </w:r>
    </w:p>
    <w:p w14:paraId="30EE1D2C" w14:textId="77777777" w:rsidR="00B92436" w:rsidRPr="00481CEF" w:rsidRDefault="00B92436" w:rsidP="00B92436">
      <w:pPr>
        <w:tabs>
          <w:tab w:val="left" w:pos="0"/>
        </w:tabs>
        <w:jc w:val="center"/>
        <w:rPr>
          <w:b/>
          <w:sz w:val="20"/>
          <w:szCs w:val="20"/>
          <w:lang w:val="en-US"/>
        </w:rPr>
      </w:pPr>
    </w:p>
    <w:p w14:paraId="2DCD1D83" w14:textId="1A4C3D74" w:rsidR="004956D5" w:rsidRPr="00481CEF" w:rsidRDefault="004956D5" w:rsidP="00754F31">
      <w:pPr>
        <w:tabs>
          <w:tab w:val="left" w:pos="0"/>
        </w:tabs>
        <w:ind w:firstLine="567"/>
        <w:jc w:val="both"/>
        <w:rPr>
          <w:b/>
          <w:sz w:val="20"/>
          <w:szCs w:val="20"/>
          <w:lang w:val="uk-UA"/>
        </w:rPr>
      </w:pPr>
      <w:r w:rsidRPr="00481CEF">
        <w:rPr>
          <w:b/>
          <w:sz w:val="20"/>
          <w:szCs w:val="20"/>
          <w:lang w:val="uk-UA"/>
        </w:rPr>
        <w:t xml:space="preserve">О. С. Шевчук, </w:t>
      </w:r>
      <w:proofErr w:type="spellStart"/>
      <w:r w:rsidRPr="00481CEF">
        <w:rPr>
          <w:b/>
          <w:sz w:val="20"/>
          <w:szCs w:val="20"/>
          <w:lang w:val="uk-UA"/>
        </w:rPr>
        <w:t>к.т.н</w:t>
      </w:r>
      <w:proofErr w:type="spellEnd"/>
      <w:r w:rsidRPr="00481CEF">
        <w:rPr>
          <w:b/>
          <w:sz w:val="20"/>
          <w:szCs w:val="20"/>
          <w:lang w:val="uk-UA"/>
        </w:rPr>
        <w:t xml:space="preserve">., доцент, О. П. Захарчук, </w:t>
      </w:r>
      <w:proofErr w:type="spellStart"/>
      <w:r w:rsidRPr="00481CEF">
        <w:rPr>
          <w:b/>
          <w:sz w:val="20"/>
          <w:szCs w:val="20"/>
          <w:lang w:val="uk-UA"/>
        </w:rPr>
        <w:t>к.т.н</w:t>
      </w:r>
      <w:proofErr w:type="spellEnd"/>
      <w:r w:rsidRPr="00481CEF">
        <w:rPr>
          <w:b/>
          <w:sz w:val="20"/>
          <w:szCs w:val="20"/>
          <w:lang w:val="uk-UA"/>
        </w:rPr>
        <w:t xml:space="preserve">., доцент, </w:t>
      </w:r>
      <w:r w:rsidR="00DD50A2" w:rsidRPr="00481CEF">
        <w:rPr>
          <w:b/>
          <w:sz w:val="20"/>
          <w:szCs w:val="20"/>
          <w:lang w:val="uk-UA"/>
        </w:rPr>
        <w:t xml:space="preserve">А. О. Вітровий, </w:t>
      </w:r>
      <w:proofErr w:type="spellStart"/>
      <w:r w:rsidR="00DD50A2" w:rsidRPr="00481CEF">
        <w:rPr>
          <w:b/>
          <w:sz w:val="20"/>
          <w:szCs w:val="20"/>
          <w:lang w:val="uk-UA"/>
        </w:rPr>
        <w:t>к.т.н</w:t>
      </w:r>
      <w:proofErr w:type="spellEnd"/>
      <w:r w:rsidR="00DD50A2" w:rsidRPr="00481CEF">
        <w:rPr>
          <w:b/>
          <w:sz w:val="20"/>
          <w:szCs w:val="20"/>
          <w:lang w:val="uk-UA"/>
        </w:rPr>
        <w:t xml:space="preserve">., доцент, </w:t>
      </w:r>
      <w:r w:rsidRPr="00481CEF">
        <w:rPr>
          <w:b/>
          <w:sz w:val="20"/>
          <w:szCs w:val="20"/>
          <w:lang w:val="uk-UA"/>
        </w:rPr>
        <w:t>Р</w:t>
      </w:r>
      <w:r w:rsidR="00754F31" w:rsidRPr="00481CEF">
        <w:rPr>
          <w:b/>
          <w:sz w:val="20"/>
          <w:szCs w:val="20"/>
          <w:lang w:val="uk-UA"/>
        </w:rPr>
        <w:t>. </w:t>
      </w:r>
      <w:r w:rsidRPr="00481CEF">
        <w:rPr>
          <w:b/>
          <w:sz w:val="20"/>
          <w:szCs w:val="20"/>
          <w:lang w:val="uk-UA"/>
        </w:rPr>
        <w:t>В</w:t>
      </w:r>
      <w:r w:rsidR="00754F31" w:rsidRPr="00481CEF">
        <w:rPr>
          <w:b/>
          <w:sz w:val="20"/>
          <w:szCs w:val="20"/>
          <w:lang w:val="uk-UA"/>
        </w:rPr>
        <w:t>. </w:t>
      </w:r>
      <w:proofErr w:type="spellStart"/>
      <w:r w:rsidRPr="00481CEF">
        <w:rPr>
          <w:b/>
          <w:sz w:val="20"/>
          <w:szCs w:val="20"/>
          <w:lang w:val="uk-UA"/>
        </w:rPr>
        <w:t>Сіран</w:t>
      </w:r>
      <w:proofErr w:type="spellEnd"/>
      <w:r w:rsidRPr="00481CEF">
        <w:rPr>
          <w:b/>
          <w:sz w:val="20"/>
          <w:szCs w:val="20"/>
          <w:lang w:val="uk-UA"/>
        </w:rPr>
        <w:t>, аспірант</w:t>
      </w:r>
      <w:r w:rsidR="0066003E" w:rsidRPr="00481CEF">
        <w:rPr>
          <w:b/>
          <w:sz w:val="20"/>
          <w:szCs w:val="20"/>
          <w:lang w:val="uk-UA"/>
        </w:rPr>
        <w:t xml:space="preserve"> </w:t>
      </w:r>
      <w:r w:rsidR="00142D4D" w:rsidRPr="00481CEF">
        <w:rPr>
          <w:b/>
          <w:sz w:val="20"/>
          <w:szCs w:val="20"/>
          <w:lang w:val="uk-UA"/>
        </w:rPr>
        <w:t xml:space="preserve">кафедри </w:t>
      </w:r>
      <w:r w:rsidR="0066003E" w:rsidRPr="00481CEF">
        <w:rPr>
          <w:b/>
          <w:sz w:val="20"/>
          <w:szCs w:val="20"/>
          <w:lang w:val="uk-UA"/>
        </w:rPr>
        <w:t>транспорту і логістики</w:t>
      </w:r>
      <w:r w:rsidRPr="00481CEF">
        <w:rPr>
          <w:b/>
          <w:sz w:val="20"/>
          <w:szCs w:val="20"/>
          <w:lang w:val="uk-UA"/>
        </w:rPr>
        <w:t xml:space="preserve">, (Західноукраїнський національний університет, </w:t>
      </w:r>
      <w:r w:rsidR="00AF2310" w:rsidRPr="00481CEF">
        <w:rPr>
          <w:b/>
          <w:sz w:val="20"/>
          <w:szCs w:val="20"/>
          <w:lang w:val="uk-UA"/>
        </w:rPr>
        <w:t>м. </w:t>
      </w:r>
      <w:r w:rsidRPr="00481CEF">
        <w:rPr>
          <w:b/>
          <w:sz w:val="20"/>
          <w:szCs w:val="20"/>
          <w:lang w:val="uk-UA"/>
        </w:rPr>
        <w:t>Тернопіль)</w:t>
      </w:r>
      <w:r w:rsidR="00481CEF" w:rsidRPr="00481CEF">
        <w:rPr>
          <w:b/>
          <w:sz w:val="20"/>
          <w:szCs w:val="20"/>
          <w:lang w:val="uk-UA"/>
        </w:rPr>
        <w:t xml:space="preserve">, С. В. Синій, </w:t>
      </w:r>
      <w:proofErr w:type="spellStart"/>
      <w:r w:rsidR="00481CEF" w:rsidRPr="00481CEF">
        <w:rPr>
          <w:b/>
          <w:sz w:val="20"/>
          <w:szCs w:val="20"/>
          <w:lang w:val="uk-UA"/>
        </w:rPr>
        <w:t>к.т.н</w:t>
      </w:r>
      <w:proofErr w:type="spellEnd"/>
      <w:r w:rsidR="00481CEF" w:rsidRPr="00481CEF">
        <w:rPr>
          <w:b/>
          <w:sz w:val="20"/>
          <w:szCs w:val="20"/>
          <w:lang w:val="uk-UA"/>
        </w:rPr>
        <w:t>., доцент (Луцький національний технічний університет, Луцьк)</w:t>
      </w:r>
    </w:p>
    <w:p w14:paraId="23FB9312" w14:textId="6C785A66" w:rsidR="00114E2A" w:rsidRPr="00481CEF" w:rsidRDefault="00114E2A" w:rsidP="00754F31">
      <w:pPr>
        <w:tabs>
          <w:tab w:val="left" w:pos="0"/>
        </w:tabs>
        <w:ind w:firstLine="567"/>
        <w:jc w:val="both"/>
        <w:rPr>
          <w:b/>
          <w:sz w:val="20"/>
          <w:szCs w:val="20"/>
          <w:lang w:val="en-US"/>
        </w:rPr>
      </w:pPr>
    </w:p>
    <w:p w14:paraId="5EBFEA52" w14:textId="22D34911" w:rsidR="000761D7" w:rsidRPr="00481CEF" w:rsidRDefault="00481CEF" w:rsidP="00754F31">
      <w:pPr>
        <w:tabs>
          <w:tab w:val="left" w:pos="0"/>
        </w:tabs>
        <w:ind w:firstLine="567"/>
        <w:jc w:val="both"/>
        <w:rPr>
          <w:rFonts w:eastAsiaTheme="minorHAnsi" w:cstheme="minorHAnsi"/>
          <w:b/>
          <w:sz w:val="20"/>
          <w:szCs w:val="20"/>
          <w:lang w:val="en-GB" w:eastAsia="en-US"/>
        </w:rPr>
      </w:pPr>
      <w:r w:rsidRPr="00481CEF">
        <w:rPr>
          <w:b/>
          <w:sz w:val="20"/>
          <w:szCs w:val="20"/>
          <w:lang w:val="en-GB"/>
        </w:rPr>
        <w:t>O.</w:t>
      </w:r>
      <w:r w:rsidRPr="00481CEF">
        <w:rPr>
          <w:b/>
          <w:sz w:val="20"/>
          <w:szCs w:val="20"/>
          <w:lang w:val="uk-UA"/>
        </w:rPr>
        <w:t> </w:t>
      </w:r>
      <w:r w:rsidRPr="00481CEF">
        <w:rPr>
          <w:b/>
          <w:sz w:val="20"/>
          <w:szCs w:val="20"/>
          <w:lang w:val="en-GB"/>
        </w:rPr>
        <w:t>S.</w:t>
      </w:r>
      <w:r w:rsidRPr="00481CEF">
        <w:rPr>
          <w:b/>
          <w:sz w:val="20"/>
          <w:szCs w:val="20"/>
          <w:lang w:val="uk-UA"/>
        </w:rPr>
        <w:t> </w:t>
      </w:r>
      <w:r w:rsidR="004956D5" w:rsidRPr="00481CEF">
        <w:rPr>
          <w:b/>
          <w:sz w:val="20"/>
          <w:szCs w:val="20"/>
          <w:lang w:val="en-GB"/>
        </w:rPr>
        <w:t xml:space="preserve">Shevchuk, Ph.D. in Engineering, Associate Professor, </w:t>
      </w:r>
      <w:r w:rsidR="00754F31" w:rsidRPr="00481CEF">
        <w:rPr>
          <w:b/>
          <w:sz w:val="20"/>
          <w:szCs w:val="20"/>
          <w:lang w:val="en-GB"/>
        </w:rPr>
        <w:t>O. P. </w:t>
      </w:r>
      <w:r w:rsidR="004956D5" w:rsidRPr="00481CEF">
        <w:rPr>
          <w:b/>
          <w:sz w:val="20"/>
          <w:szCs w:val="20"/>
          <w:lang w:val="en-GB"/>
        </w:rPr>
        <w:t xml:space="preserve">Zakharchuk, Ph.D. in Engineering, Associate Professor, </w:t>
      </w:r>
      <w:r w:rsidR="00DD50A2" w:rsidRPr="00481CEF">
        <w:rPr>
          <w:b/>
          <w:sz w:val="20"/>
          <w:szCs w:val="20"/>
          <w:lang w:val="uk-UA"/>
        </w:rPr>
        <w:t>А.</w:t>
      </w:r>
      <w:r w:rsidR="00DD50A2" w:rsidRPr="00481CEF">
        <w:rPr>
          <w:b/>
          <w:sz w:val="20"/>
          <w:szCs w:val="20"/>
          <w:lang w:val="en-US"/>
        </w:rPr>
        <w:t> </w:t>
      </w:r>
      <w:r w:rsidR="00DD50A2" w:rsidRPr="00481CEF">
        <w:rPr>
          <w:b/>
          <w:sz w:val="20"/>
          <w:szCs w:val="20"/>
          <w:lang w:val="uk-UA"/>
        </w:rPr>
        <w:t>О.</w:t>
      </w:r>
      <w:r w:rsidR="00DD50A2" w:rsidRPr="00481CEF">
        <w:rPr>
          <w:b/>
          <w:sz w:val="20"/>
          <w:szCs w:val="20"/>
          <w:lang w:val="en-US"/>
        </w:rPr>
        <w:t> </w:t>
      </w:r>
      <w:proofErr w:type="spellStart"/>
      <w:r w:rsidR="00DD50A2" w:rsidRPr="00481CEF">
        <w:rPr>
          <w:b/>
          <w:sz w:val="20"/>
          <w:szCs w:val="20"/>
          <w:lang w:val="en-US"/>
        </w:rPr>
        <w:t>Vitrovyy</w:t>
      </w:r>
      <w:proofErr w:type="spellEnd"/>
      <w:r w:rsidR="00DD50A2" w:rsidRPr="00481CEF">
        <w:rPr>
          <w:b/>
          <w:sz w:val="20"/>
          <w:szCs w:val="20"/>
          <w:lang w:val="en-US"/>
        </w:rPr>
        <w:t xml:space="preserve">, </w:t>
      </w:r>
      <w:r w:rsidR="00DD50A2" w:rsidRPr="00481CEF">
        <w:rPr>
          <w:b/>
          <w:sz w:val="20"/>
          <w:szCs w:val="20"/>
          <w:lang w:val="en-GB"/>
        </w:rPr>
        <w:t xml:space="preserve">Ph.D. in Engineering, Associate Professor, </w:t>
      </w:r>
      <w:r w:rsidRPr="00481CEF">
        <w:rPr>
          <w:rFonts w:eastAsiaTheme="minorHAnsi" w:cstheme="minorHAnsi"/>
          <w:b/>
          <w:sz w:val="20"/>
          <w:szCs w:val="20"/>
          <w:lang w:val="en-GB" w:eastAsia="en-US"/>
        </w:rPr>
        <w:t>R.</w:t>
      </w:r>
      <w:r w:rsidRPr="00481CEF">
        <w:rPr>
          <w:rFonts w:eastAsiaTheme="minorHAnsi" w:cstheme="minorHAnsi"/>
          <w:b/>
          <w:sz w:val="20"/>
          <w:szCs w:val="20"/>
          <w:lang w:val="uk-UA" w:eastAsia="en-US"/>
        </w:rPr>
        <w:t> </w:t>
      </w:r>
      <w:r w:rsidRPr="00481CEF">
        <w:rPr>
          <w:rFonts w:eastAsiaTheme="minorHAnsi" w:cstheme="minorHAnsi"/>
          <w:b/>
          <w:sz w:val="20"/>
          <w:szCs w:val="20"/>
          <w:lang w:val="en-GB" w:eastAsia="en-US"/>
        </w:rPr>
        <w:t>V.</w:t>
      </w:r>
      <w:r w:rsidRPr="00481CEF">
        <w:rPr>
          <w:rFonts w:eastAsiaTheme="minorHAnsi" w:cstheme="minorHAnsi"/>
          <w:b/>
          <w:sz w:val="20"/>
          <w:szCs w:val="20"/>
          <w:lang w:val="uk-UA" w:eastAsia="en-US"/>
        </w:rPr>
        <w:t> </w:t>
      </w:r>
      <w:r w:rsidR="000761D7" w:rsidRPr="00481CEF">
        <w:rPr>
          <w:rFonts w:eastAsiaTheme="minorHAnsi" w:cstheme="minorHAnsi"/>
          <w:b/>
          <w:sz w:val="20"/>
          <w:szCs w:val="20"/>
          <w:lang w:val="en-GB" w:eastAsia="en-US"/>
        </w:rPr>
        <w:t>Siran, postgraduate student of the Department of Transport and Logistics (Western Ukrainian</w:t>
      </w:r>
      <w:r w:rsidRPr="00481CEF">
        <w:rPr>
          <w:rFonts w:eastAsiaTheme="minorHAnsi" w:cstheme="minorHAnsi"/>
          <w:b/>
          <w:sz w:val="20"/>
          <w:szCs w:val="20"/>
          <w:lang w:val="en-GB" w:eastAsia="en-US"/>
        </w:rPr>
        <w:t xml:space="preserve"> National University, Ternopil), S. V. </w:t>
      </w:r>
      <w:proofErr w:type="spellStart"/>
      <w:r w:rsidRPr="00481CEF">
        <w:rPr>
          <w:rFonts w:eastAsiaTheme="minorHAnsi" w:cstheme="minorHAnsi"/>
          <w:b/>
          <w:sz w:val="20"/>
          <w:szCs w:val="20"/>
          <w:lang w:val="en-GB" w:eastAsia="en-US"/>
        </w:rPr>
        <w:t>Synii</w:t>
      </w:r>
      <w:proofErr w:type="spellEnd"/>
      <w:r w:rsidRPr="00481CEF">
        <w:rPr>
          <w:rFonts w:eastAsiaTheme="minorHAnsi" w:cstheme="minorHAnsi"/>
          <w:b/>
          <w:sz w:val="20"/>
          <w:szCs w:val="20"/>
          <w:lang w:val="en-GB" w:eastAsia="en-US"/>
        </w:rPr>
        <w:t xml:space="preserve">, </w:t>
      </w:r>
      <w:r w:rsidRPr="00481CEF">
        <w:rPr>
          <w:b/>
          <w:sz w:val="20"/>
          <w:szCs w:val="20"/>
          <w:lang w:val="en-GB"/>
        </w:rPr>
        <w:t>Ph.D. in Engineering, Associate Professor (Lutsk National Technical University)</w:t>
      </w:r>
    </w:p>
    <w:p w14:paraId="3A2E7D91" w14:textId="024A5402" w:rsidR="003F2408" w:rsidRPr="00481CEF" w:rsidRDefault="003F2408" w:rsidP="00754F31">
      <w:pPr>
        <w:tabs>
          <w:tab w:val="left" w:pos="567"/>
        </w:tabs>
        <w:ind w:firstLine="567"/>
        <w:jc w:val="both"/>
        <w:rPr>
          <w:i/>
          <w:sz w:val="18"/>
          <w:szCs w:val="18"/>
          <w:lang w:val="en-GB"/>
        </w:rPr>
      </w:pPr>
    </w:p>
    <w:p w14:paraId="51BF13AB" w14:textId="79DE4758" w:rsidR="004956D5" w:rsidRPr="00754F31" w:rsidRDefault="004956D5" w:rsidP="00D76C36">
      <w:pPr>
        <w:tabs>
          <w:tab w:val="left" w:pos="567"/>
        </w:tabs>
        <w:ind w:firstLine="567"/>
        <w:jc w:val="both"/>
        <w:rPr>
          <w:i/>
          <w:sz w:val="18"/>
          <w:szCs w:val="18"/>
          <w:lang w:val="uk-UA"/>
        </w:rPr>
      </w:pPr>
      <w:r w:rsidRPr="00754F31">
        <w:rPr>
          <w:i/>
          <w:sz w:val="18"/>
          <w:szCs w:val="18"/>
          <w:lang w:val="uk-UA"/>
        </w:rPr>
        <w:t>Автор</w:t>
      </w:r>
      <w:r w:rsidR="00754F31" w:rsidRPr="00754F31">
        <w:rPr>
          <w:i/>
          <w:sz w:val="18"/>
          <w:szCs w:val="18"/>
          <w:lang w:val="uk-UA"/>
        </w:rPr>
        <w:t>ами</w:t>
      </w:r>
      <w:r w:rsidRPr="00754F31">
        <w:rPr>
          <w:i/>
          <w:sz w:val="18"/>
          <w:szCs w:val="18"/>
          <w:lang w:val="uk-UA"/>
        </w:rPr>
        <w:t xml:space="preserve"> проведено комплексний аналіз ролі та змісту Генеральної схеми планування (ГСП) території України як ключового містобудівного документа державного рівня. Досліджено три основні компоненти ГСП та визначено її законодавчі засади. </w:t>
      </w:r>
    </w:p>
    <w:p w14:paraId="6A8F409D" w14:textId="2662E97D" w:rsidR="003F2408" w:rsidRDefault="003F2408" w:rsidP="00754F31">
      <w:pPr>
        <w:tabs>
          <w:tab w:val="left" w:pos="567"/>
        </w:tabs>
        <w:ind w:firstLine="567"/>
        <w:jc w:val="both"/>
        <w:rPr>
          <w:i/>
          <w:sz w:val="18"/>
          <w:szCs w:val="18"/>
          <w:lang w:val="uk-UA"/>
        </w:rPr>
      </w:pPr>
    </w:p>
    <w:p w14:paraId="72D4BEC5" w14:textId="167B8D4E" w:rsidR="007F2DAC" w:rsidRPr="00754F31" w:rsidRDefault="00754F31" w:rsidP="00754F31">
      <w:pPr>
        <w:tabs>
          <w:tab w:val="left" w:pos="567"/>
        </w:tabs>
        <w:ind w:firstLine="567"/>
        <w:jc w:val="both"/>
        <w:rPr>
          <w:i/>
          <w:sz w:val="18"/>
          <w:szCs w:val="18"/>
          <w:lang w:val="en-US"/>
        </w:rPr>
      </w:pPr>
      <w:r w:rsidRPr="00754F31">
        <w:rPr>
          <w:i/>
          <w:sz w:val="18"/>
          <w:szCs w:val="18"/>
          <w:lang w:val="en-US"/>
        </w:rPr>
        <w:t>The authors conducted a comprehensive analysis of the role and content of the General Planning Scheme (G</w:t>
      </w:r>
      <w:r>
        <w:rPr>
          <w:i/>
          <w:sz w:val="18"/>
          <w:szCs w:val="18"/>
          <w:lang w:val="en-US"/>
        </w:rPr>
        <w:t>P</w:t>
      </w:r>
      <w:r w:rsidRPr="00754F31">
        <w:rPr>
          <w:i/>
          <w:sz w:val="18"/>
          <w:szCs w:val="18"/>
          <w:lang w:val="en-US"/>
        </w:rPr>
        <w:t>S) of the territory of Ukraine as a key urban planning document at the state level.</w:t>
      </w:r>
      <w:r w:rsidR="00481CEF">
        <w:rPr>
          <w:i/>
          <w:sz w:val="18"/>
          <w:szCs w:val="18"/>
          <w:lang w:val="uk-UA"/>
        </w:rPr>
        <w:t xml:space="preserve"> </w:t>
      </w:r>
      <w:r w:rsidR="004956D5" w:rsidRPr="00754F31">
        <w:rPr>
          <w:i/>
          <w:sz w:val="18"/>
          <w:szCs w:val="18"/>
          <w:lang w:val="en-US"/>
        </w:rPr>
        <w:t xml:space="preserve">The three main components of the </w:t>
      </w:r>
      <w:r w:rsidRPr="00754F31">
        <w:rPr>
          <w:i/>
          <w:sz w:val="18"/>
          <w:szCs w:val="18"/>
          <w:lang w:val="en-US"/>
        </w:rPr>
        <w:t>G</w:t>
      </w:r>
      <w:r>
        <w:rPr>
          <w:i/>
          <w:sz w:val="18"/>
          <w:szCs w:val="18"/>
          <w:lang w:val="en-US"/>
        </w:rPr>
        <w:t>P</w:t>
      </w:r>
      <w:r w:rsidRPr="00754F31">
        <w:rPr>
          <w:i/>
          <w:sz w:val="18"/>
          <w:szCs w:val="18"/>
          <w:lang w:val="en-US"/>
        </w:rPr>
        <w:t>S</w:t>
      </w:r>
      <w:r w:rsidR="004956D5" w:rsidRPr="00754F31">
        <w:rPr>
          <w:i/>
          <w:sz w:val="18"/>
          <w:szCs w:val="18"/>
          <w:lang w:val="en-US"/>
        </w:rPr>
        <w:t xml:space="preserve"> were studied and its legislative foundations were identified.</w:t>
      </w:r>
    </w:p>
    <w:p w14:paraId="46F49544" w14:textId="77777777" w:rsidR="004956D5" w:rsidRPr="00754F31" w:rsidRDefault="004956D5" w:rsidP="00754F31">
      <w:pPr>
        <w:tabs>
          <w:tab w:val="left" w:pos="567"/>
        </w:tabs>
        <w:ind w:firstLine="567"/>
        <w:jc w:val="both"/>
        <w:rPr>
          <w:i/>
          <w:sz w:val="18"/>
          <w:szCs w:val="18"/>
          <w:lang w:val="en-US"/>
        </w:rPr>
      </w:pPr>
    </w:p>
    <w:p w14:paraId="3B97B310" w14:textId="199F8B76" w:rsidR="00A927E0" w:rsidRPr="00754F31" w:rsidRDefault="000761D7" w:rsidP="00754F31">
      <w:pPr>
        <w:tabs>
          <w:tab w:val="left" w:pos="567"/>
        </w:tabs>
        <w:ind w:firstLine="567"/>
        <w:jc w:val="both"/>
        <w:rPr>
          <w:sz w:val="20"/>
          <w:szCs w:val="20"/>
          <w:lang w:val="uk-UA"/>
        </w:rPr>
      </w:pPr>
      <w:r w:rsidRPr="00754F31">
        <w:rPr>
          <w:sz w:val="20"/>
          <w:szCs w:val="20"/>
          <w:lang w:val="uk-UA"/>
        </w:rPr>
        <w:t>Генеральна схема планування (ГСП) міста є основним містобудівним документом, призначення якого полягає у стратегічному, довгостроковому та збалансованому плануванні розвитку міської території</w:t>
      </w:r>
      <w:r w:rsidR="00CD1656">
        <w:rPr>
          <w:sz w:val="20"/>
          <w:szCs w:val="20"/>
          <w:lang w:val="uk-UA"/>
        </w:rPr>
        <w:t xml:space="preserve"> </w:t>
      </w:r>
      <w:r w:rsidR="00CD1656" w:rsidRPr="00273115">
        <w:rPr>
          <w:sz w:val="20"/>
          <w:szCs w:val="20"/>
          <w:lang w:val="uk-UA"/>
        </w:rPr>
        <w:t>[</w:t>
      </w:r>
      <w:r w:rsidR="00CD1656">
        <w:rPr>
          <w:sz w:val="20"/>
          <w:szCs w:val="20"/>
          <w:lang w:val="uk-UA"/>
        </w:rPr>
        <w:t>1</w:t>
      </w:r>
      <w:r w:rsidR="00CD1656" w:rsidRPr="00273115">
        <w:rPr>
          <w:sz w:val="20"/>
          <w:szCs w:val="20"/>
          <w:lang w:val="uk-UA"/>
        </w:rPr>
        <w:t>]</w:t>
      </w:r>
      <w:r w:rsidRPr="00754F31">
        <w:rPr>
          <w:sz w:val="20"/>
          <w:szCs w:val="20"/>
          <w:lang w:val="uk-UA"/>
        </w:rPr>
        <w:t>. Насамперед, він слугує для раціонального використання земель через визначення функціонального зонування, чітко розділяючи житлові</w:t>
      </w:r>
      <w:r w:rsidR="00273115">
        <w:rPr>
          <w:sz w:val="20"/>
          <w:szCs w:val="20"/>
          <w:lang w:val="uk-UA"/>
        </w:rPr>
        <w:t>,</w:t>
      </w:r>
      <w:r w:rsidRPr="00754F31">
        <w:rPr>
          <w:sz w:val="20"/>
          <w:szCs w:val="20"/>
          <w:lang w:val="uk-UA"/>
        </w:rPr>
        <w:t xml:space="preserve"> промислові, рекреаційні</w:t>
      </w:r>
      <w:r w:rsidR="00A927E0" w:rsidRPr="00754F31">
        <w:rPr>
          <w:sz w:val="20"/>
          <w:szCs w:val="20"/>
          <w:lang w:val="uk-UA"/>
        </w:rPr>
        <w:t xml:space="preserve"> </w:t>
      </w:r>
      <w:r w:rsidRPr="00754F31">
        <w:rPr>
          <w:sz w:val="20"/>
          <w:szCs w:val="20"/>
          <w:lang w:val="uk-UA"/>
        </w:rPr>
        <w:t>та</w:t>
      </w:r>
      <w:r w:rsidR="00A927E0" w:rsidRPr="00754F31">
        <w:rPr>
          <w:sz w:val="20"/>
          <w:szCs w:val="20"/>
          <w:lang w:val="uk-UA"/>
        </w:rPr>
        <w:t xml:space="preserve"> громадські </w:t>
      </w:r>
      <w:r w:rsidRPr="00754F31">
        <w:rPr>
          <w:sz w:val="20"/>
          <w:szCs w:val="20"/>
          <w:lang w:val="uk-UA"/>
        </w:rPr>
        <w:t>зони</w:t>
      </w:r>
      <w:r w:rsidR="00273115">
        <w:rPr>
          <w:sz w:val="20"/>
          <w:szCs w:val="20"/>
          <w:lang w:val="uk-UA"/>
        </w:rPr>
        <w:t xml:space="preserve"> </w:t>
      </w:r>
      <w:r w:rsidR="00273115" w:rsidRPr="00273115">
        <w:rPr>
          <w:sz w:val="20"/>
          <w:szCs w:val="20"/>
          <w:lang w:val="uk-UA"/>
        </w:rPr>
        <w:t>[</w:t>
      </w:r>
      <w:r w:rsidR="00CD1656">
        <w:rPr>
          <w:sz w:val="20"/>
          <w:szCs w:val="20"/>
          <w:lang w:val="uk-UA"/>
        </w:rPr>
        <w:t>2</w:t>
      </w:r>
      <w:r w:rsidR="00273115" w:rsidRPr="00273115">
        <w:rPr>
          <w:sz w:val="20"/>
          <w:szCs w:val="20"/>
          <w:lang w:val="uk-UA"/>
        </w:rPr>
        <w:t>]</w:t>
      </w:r>
      <w:r w:rsidRPr="00754F31">
        <w:rPr>
          <w:sz w:val="20"/>
          <w:szCs w:val="20"/>
          <w:lang w:val="uk-UA"/>
        </w:rPr>
        <w:t>, що запобігає конфліктам забудови.</w:t>
      </w:r>
    </w:p>
    <w:p w14:paraId="0C286394" w14:textId="77777777" w:rsidR="00273115" w:rsidRDefault="00A00FC7" w:rsidP="00754F31">
      <w:pPr>
        <w:tabs>
          <w:tab w:val="left" w:pos="567"/>
        </w:tabs>
        <w:ind w:firstLine="567"/>
        <w:jc w:val="both"/>
        <w:rPr>
          <w:sz w:val="20"/>
          <w:szCs w:val="20"/>
          <w:lang w:val="uk-UA"/>
        </w:rPr>
      </w:pPr>
      <w:r w:rsidRPr="00754F31">
        <w:rPr>
          <w:sz w:val="20"/>
          <w:szCs w:val="20"/>
          <w:lang w:val="uk-UA"/>
        </w:rPr>
        <w:t>Даний документ</w:t>
      </w:r>
      <w:r w:rsidR="000761D7" w:rsidRPr="00754F31">
        <w:rPr>
          <w:sz w:val="20"/>
          <w:szCs w:val="20"/>
          <w:lang w:val="uk-UA"/>
        </w:rPr>
        <w:t xml:space="preserve"> визначає основні принципи формування архітектурно-планувальної структури міста на період до двадцяти п'яти років, регулюючи розвиток системи розселення. </w:t>
      </w:r>
    </w:p>
    <w:p w14:paraId="5BE0CC1F" w14:textId="77777777" w:rsidR="00273115" w:rsidRDefault="000761D7" w:rsidP="00754F31">
      <w:pPr>
        <w:tabs>
          <w:tab w:val="left" w:pos="567"/>
        </w:tabs>
        <w:ind w:firstLine="567"/>
        <w:jc w:val="both"/>
        <w:rPr>
          <w:sz w:val="20"/>
          <w:szCs w:val="20"/>
          <w:lang w:val="uk-UA"/>
        </w:rPr>
      </w:pPr>
      <w:r w:rsidRPr="00754F31">
        <w:rPr>
          <w:sz w:val="20"/>
          <w:szCs w:val="20"/>
          <w:lang w:val="uk-UA"/>
        </w:rPr>
        <w:t xml:space="preserve">Крім того, він має критичне інфраструктурне значення, оскільки планує розвиток магістральної </w:t>
      </w:r>
      <w:proofErr w:type="spellStart"/>
      <w:r w:rsidRPr="00754F31">
        <w:rPr>
          <w:sz w:val="20"/>
          <w:szCs w:val="20"/>
          <w:lang w:val="uk-UA"/>
        </w:rPr>
        <w:t>вулично</w:t>
      </w:r>
      <w:proofErr w:type="spellEnd"/>
      <w:r w:rsidRPr="00754F31">
        <w:rPr>
          <w:sz w:val="20"/>
          <w:szCs w:val="20"/>
          <w:lang w:val="uk-UA"/>
        </w:rPr>
        <w:t xml:space="preserve">-дорожньої мережі та всіх інженерних систем, включаючи водопостачання, енергетику та зв'язок. </w:t>
      </w:r>
    </w:p>
    <w:p w14:paraId="7375AC31" w14:textId="0480CA62" w:rsidR="00A856C7" w:rsidRPr="00754F31" w:rsidRDefault="000761D7" w:rsidP="00754F31">
      <w:pPr>
        <w:tabs>
          <w:tab w:val="left" w:pos="567"/>
        </w:tabs>
        <w:ind w:firstLine="567"/>
        <w:jc w:val="both"/>
        <w:rPr>
          <w:sz w:val="20"/>
          <w:szCs w:val="20"/>
          <w:lang w:val="uk-UA"/>
        </w:rPr>
      </w:pPr>
      <w:r w:rsidRPr="00754F31">
        <w:rPr>
          <w:sz w:val="20"/>
          <w:szCs w:val="20"/>
          <w:lang w:val="uk-UA"/>
        </w:rPr>
        <w:t xml:space="preserve">З екологічної та соціальної точки зору, Генеральний план забезпечує охорону навколишнього середовища, планує розміщення об'єктів соціальної інфраструктури, таких як школи та лікарні, а також охороняє </w:t>
      </w:r>
      <w:r w:rsidRPr="00754F31">
        <w:rPr>
          <w:sz w:val="20"/>
          <w:szCs w:val="20"/>
          <w:lang w:val="uk-UA"/>
        </w:rPr>
        <w:lastRenderedPageBreak/>
        <w:t>культурну спадщину. Зрештою, цей документ виконує правову функцію, будучи юридичною основою для відведення земель, контролю за забудовою та залучення інвестицій, оскільки чітко встановлює, що і де дозволено будувати.</w:t>
      </w:r>
    </w:p>
    <w:p w14:paraId="3E0EDCB6" w14:textId="77777777" w:rsidR="00CA57D0" w:rsidRPr="00CA57D0" w:rsidRDefault="00CA57D0" w:rsidP="00CA57D0">
      <w:pPr>
        <w:tabs>
          <w:tab w:val="left" w:pos="567"/>
        </w:tabs>
        <w:ind w:firstLine="567"/>
        <w:jc w:val="both"/>
        <w:rPr>
          <w:sz w:val="20"/>
          <w:szCs w:val="20"/>
          <w:lang w:val="uk-UA"/>
        </w:rPr>
      </w:pPr>
      <w:r w:rsidRPr="00CA57D0">
        <w:rPr>
          <w:sz w:val="20"/>
          <w:szCs w:val="20"/>
          <w:lang w:val="uk-UA"/>
        </w:rPr>
        <w:t xml:space="preserve">На </w:t>
      </w:r>
      <w:r>
        <w:rPr>
          <w:sz w:val="20"/>
          <w:szCs w:val="20"/>
          <w:lang w:val="uk-UA"/>
        </w:rPr>
        <w:t xml:space="preserve">рис. 1 </w:t>
      </w:r>
      <w:r w:rsidRPr="00CA57D0">
        <w:rPr>
          <w:sz w:val="20"/>
          <w:szCs w:val="20"/>
          <w:lang w:val="uk-UA"/>
        </w:rPr>
        <w:t>подано структуру компонентів ГСП території України у вигляді піраміди. Вона складається з трьох основних рівнів:</w:t>
      </w:r>
    </w:p>
    <w:p w14:paraId="5B36080F" w14:textId="77777777" w:rsidR="00CA57D0" w:rsidRPr="00CA57D0" w:rsidRDefault="00CA57D0" w:rsidP="00CA57D0">
      <w:pPr>
        <w:tabs>
          <w:tab w:val="left" w:pos="567"/>
        </w:tabs>
        <w:ind w:firstLine="567"/>
        <w:jc w:val="both"/>
        <w:rPr>
          <w:sz w:val="20"/>
          <w:szCs w:val="20"/>
          <w:lang w:val="uk-UA"/>
        </w:rPr>
      </w:pPr>
      <w:r w:rsidRPr="00CA57D0">
        <w:rPr>
          <w:sz w:val="20"/>
          <w:szCs w:val="20"/>
          <w:lang w:val="uk-UA"/>
        </w:rPr>
        <w:t>1. Аналіз стану використання території України – оцінка сучасного стану територіальної організації, розселення, природних ресурсів, інфраструктури, екології.</w:t>
      </w:r>
    </w:p>
    <w:p w14:paraId="42E00E67" w14:textId="77777777" w:rsidR="00CA57D0" w:rsidRPr="00CA57D0" w:rsidRDefault="00CA57D0" w:rsidP="00CA57D0">
      <w:pPr>
        <w:tabs>
          <w:tab w:val="left" w:pos="567"/>
        </w:tabs>
        <w:ind w:firstLine="567"/>
        <w:jc w:val="both"/>
        <w:rPr>
          <w:sz w:val="20"/>
          <w:szCs w:val="20"/>
          <w:lang w:val="uk-UA"/>
        </w:rPr>
      </w:pPr>
      <w:r w:rsidRPr="00CA57D0">
        <w:rPr>
          <w:sz w:val="20"/>
          <w:szCs w:val="20"/>
          <w:lang w:val="uk-UA"/>
        </w:rPr>
        <w:t>2. Обґрунтування основних напрямків використання території України – визначення стратегічних пріоритетів просторового розвитку, функціонального зонування та збалансованого використання територій.</w:t>
      </w:r>
    </w:p>
    <w:p w14:paraId="28954EED" w14:textId="77777777" w:rsidR="00CA57D0" w:rsidRPr="00CA57D0" w:rsidRDefault="00CA57D0" w:rsidP="00CA57D0">
      <w:pPr>
        <w:tabs>
          <w:tab w:val="left" w:pos="567"/>
        </w:tabs>
        <w:ind w:firstLine="567"/>
        <w:jc w:val="both"/>
        <w:rPr>
          <w:sz w:val="20"/>
          <w:szCs w:val="20"/>
          <w:lang w:val="uk-UA"/>
        </w:rPr>
      </w:pPr>
      <w:r w:rsidRPr="00CA57D0">
        <w:rPr>
          <w:sz w:val="20"/>
          <w:szCs w:val="20"/>
          <w:lang w:val="uk-UA"/>
        </w:rPr>
        <w:t>3. Пропозиції щодо реалізації Генеральної схеми планування території України – розробка практичних заходів, програм і механізмів впровадження схеми.</w:t>
      </w:r>
    </w:p>
    <w:p w14:paraId="4ECD5F8B" w14:textId="37D7487D" w:rsidR="00A856C7" w:rsidRPr="00CA57D0" w:rsidRDefault="00A856C7" w:rsidP="00273115">
      <w:pPr>
        <w:tabs>
          <w:tab w:val="left" w:pos="567"/>
        </w:tabs>
        <w:jc w:val="center"/>
        <w:rPr>
          <w:sz w:val="20"/>
          <w:szCs w:val="20"/>
          <w:lang w:val="uk-UA"/>
        </w:rPr>
      </w:pPr>
    </w:p>
    <w:p w14:paraId="5904B9F3" w14:textId="0C08F81D" w:rsidR="00A856C7" w:rsidRDefault="001352B0" w:rsidP="00273115">
      <w:pPr>
        <w:tabs>
          <w:tab w:val="left" w:pos="567"/>
        </w:tabs>
        <w:jc w:val="center"/>
        <w:rPr>
          <w:sz w:val="20"/>
          <w:szCs w:val="20"/>
          <w:lang w:val="en-US"/>
        </w:rPr>
      </w:pPr>
      <w:r>
        <w:rPr>
          <w:noProof/>
          <w:lang w:val="uk-UA" w:eastAsia="uk-UA"/>
        </w:rPr>
        <w:drawing>
          <wp:inline distT="0" distB="0" distL="0" distR="0" wp14:anchorId="043B6D24" wp14:editId="2EA5AB95">
            <wp:extent cx="3407902" cy="239104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419" t="36303" r="41165" b="19521"/>
                    <a:stretch/>
                  </pic:blipFill>
                  <pic:spPr bwMode="auto">
                    <a:xfrm>
                      <a:off x="0" y="0"/>
                      <a:ext cx="3567759" cy="2503198"/>
                    </a:xfrm>
                    <a:prstGeom prst="rect">
                      <a:avLst/>
                    </a:prstGeom>
                    <a:ln>
                      <a:noFill/>
                    </a:ln>
                    <a:extLst>
                      <a:ext uri="{53640926-AAD7-44D8-BBD7-CCE9431645EC}">
                        <a14:shadowObscured xmlns:a14="http://schemas.microsoft.com/office/drawing/2010/main"/>
                      </a:ext>
                    </a:extLst>
                  </pic:spPr>
                </pic:pic>
              </a:graphicData>
            </a:graphic>
          </wp:inline>
        </w:drawing>
      </w:r>
    </w:p>
    <w:p w14:paraId="4F233565" w14:textId="77777777" w:rsidR="00ED55C2" w:rsidRDefault="00ED55C2" w:rsidP="00273115">
      <w:pPr>
        <w:tabs>
          <w:tab w:val="left" w:pos="567"/>
        </w:tabs>
        <w:jc w:val="center"/>
        <w:rPr>
          <w:sz w:val="20"/>
          <w:szCs w:val="20"/>
          <w:lang w:val="en-US"/>
        </w:rPr>
      </w:pPr>
    </w:p>
    <w:p w14:paraId="3F91C526" w14:textId="5ABDB825" w:rsidR="001352B0" w:rsidRPr="00311B40" w:rsidRDefault="00311B40" w:rsidP="007F2DAC">
      <w:pPr>
        <w:tabs>
          <w:tab w:val="left" w:pos="567"/>
        </w:tabs>
        <w:ind w:firstLine="567"/>
        <w:jc w:val="both"/>
        <w:rPr>
          <w:sz w:val="20"/>
          <w:szCs w:val="20"/>
          <w:lang w:val="uk-UA"/>
        </w:rPr>
      </w:pPr>
      <w:r>
        <w:rPr>
          <w:sz w:val="20"/>
          <w:szCs w:val="20"/>
          <w:lang w:val="uk-UA"/>
        </w:rPr>
        <w:t>Рис</w:t>
      </w:r>
      <w:r w:rsidR="00CA57D0">
        <w:rPr>
          <w:sz w:val="20"/>
          <w:szCs w:val="20"/>
          <w:lang w:val="uk-UA"/>
        </w:rPr>
        <w:t>.</w:t>
      </w:r>
      <w:r>
        <w:rPr>
          <w:sz w:val="20"/>
          <w:szCs w:val="20"/>
          <w:lang w:val="uk-UA"/>
        </w:rPr>
        <w:t xml:space="preserve"> 1</w:t>
      </w:r>
      <w:r w:rsidR="00CA57D0">
        <w:rPr>
          <w:sz w:val="20"/>
          <w:szCs w:val="20"/>
          <w:lang w:val="uk-UA"/>
        </w:rPr>
        <w:t xml:space="preserve">. </w:t>
      </w:r>
      <w:r>
        <w:rPr>
          <w:sz w:val="20"/>
          <w:szCs w:val="20"/>
          <w:lang w:val="uk-UA"/>
        </w:rPr>
        <w:t xml:space="preserve">Основні компоненти </w:t>
      </w:r>
      <w:r w:rsidR="00CF58A6">
        <w:rPr>
          <w:sz w:val="20"/>
          <w:szCs w:val="20"/>
          <w:lang w:val="uk-UA"/>
        </w:rPr>
        <w:t xml:space="preserve">Генеральної </w:t>
      </w:r>
      <w:r>
        <w:rPr>
          <w:sz w:val="20"/>
          <w:szCs w:val="20"/>
          <w:lang w:val="uk-UA"/>
        </w:rPr>
        <w:t>схеми планування</w:t>
      </w:r>
    </w:p>
    <w:p w14:paraId="5B1B4240" w14:textId="6BE2D67F" w:rsidR="001352B0" w:rsidRPr="001352B0" w:rsidRDefault="001352B0" w:rsidP="00311B40">
      <w:pPr>
        <w:tabs>
          <w:tab w:val="left" w:pos="567"/>
        </w:tabs>
        <w:jc w:val="both"/>
        <w:rPr>
          <w:sz w:val="20"/>
          <w:szCs w:val="20"/>
        </w:rPr>
      </w:pPr>
    </w:p>
    <w:p w14:paraId="0F9060A2" w14:textId="1C2B2BE8" w:rsidR="00ED55C2" w:rsidRPr="00CA57D0" w:rsidRDefault="00ED55C2" w:rsidP="00ED55C2">
      <w:pPr>
        <w:tabs>
          <w:tab w:val="left" w:pos="567"/>
        </w:tabs>
        <w:ind w:firstLine="567"/>
        <w:jc w:val="both"/>
        <w:rPr>
          <w:sz w:val="20"/>
          <w:szCs w:val="20"/>
          <w:lang w:val="uk-UA"/>
        </w:rPr>
      </w:pPr>
      <w:r w:rsidRPr="00CA57D0">
        <w:rPr>
          <w:sz w:val="20"/>
          <w:szCs w:val="20"/>
          <w:lang w:val="uk-UA"/>
        </w:rPr>
        <w:t>Генеральний план має статус нормативного документа прямої дії, обов’язкового для виконання органами влади, підприємствами, організаціями та громадянами. Його положення визначають межі населеного пункту, функціональне зонування території, напрямки розвитку транспортної, інженерної та соціальної інфраструктури. Усі рішення щодо забудови територій пов</w:t>
      </w:r>
      <w:r w:rsidR="00CF58A6">
        <w:rPr>
          <w:sz w:val="20"/>
          <w:szCs w:val="20"/>
          <w:lang w:val="uk-UA"/>
        </w:rPr>
        <w:t>инні відповідати затвердженому Г</w:t>
      </w:r>
      <w:r w:rsidRPr="00CA57D0">
        <w:rPr>
          <w:sz w:val="20"/>
          <w:szCs w:val="20"/>
          <w:lang w:val="uk-UA"/>
        </w:rPr>
        <w:t>енеральному плану.</w:t>
      </w:r>
    </w:p>
    <w:p w14:paraId="6726F46C" w14:textId="49E915B8" w:rsidR="00ED55C2" w:rsidRDefault="00ED55C2" w:rsidP="00ED55C2">
      <w:pPr>
        <w:tabs>
          <w:tab w:val="left" w:pos="567"/>
        </w:tabs>
        <w:ind w:firstLine="567"/>
        <w:jc w:val="both"/>
        <w:rPr>
          <w:sz w:val="20"/>
          <w:szCs w:val="20"/>
          <w:lang w:val="uk-UA"/>
        </w:rPr>
      </w:pPr>
      <w:r w:rsidRPr="00CA57D0">
        <w:rPr>
          <w:sz w:val="20"/>
          <w:szCs w:val="20"/>
          <w:lang w:val="uk-UA"/>
        </w:rPr>
        <w:lastRenderedPageBreak/>
        <w:t xml:space="preserve">Будь-яке будівництво, що суперечить затвердженому генеральному плану, заборонене. Внесення змін до нього можливе лише після проведення нових досліджень, погоджень, громадських слухань і ухвалення відповідного рішення місцевою радою. Для детальнішого планування окремих територій можуть розроблятися додаткові документи </w:t>
      </w:r>
      <w:r w:rsidR="00273115">
        <w:rPr>
          <w:sz w:val="20"/>
          <w:szCs w:val="20"/>
          <w:lang w:val="uk-UA"/>
        </w:rPr>
        <w:t>–</w:t>
      </w:r>
      <w:r w:rsidRPr="00CA57D0">
        <w:rPr>
          <w:sz w:val="20"/>
          <w:szCs w:val="20"/>
          <w:lang w:val="uk-UA"/>
        </w:rPr>
        <w:t xml:space="preserve"> детальні</w:t>
      </w:r>
      <w:r w:rsidR="00273115">
        <w:rPr>
          <w:sz w:val="20"/>
          <w:szCs w:val="20"/>
          <w:lang w:val="uk-UA"/>
        </w:rPr>
        <w:t xml:space="preserve"> </w:t>
      </w:r>
      <w:r w:rsidRPr="00CA57D0">
        <w:rPr>
          <w:sz w:val="20"/>
          <w:szCs w:val="20"/>
          <w:lang w:val="uk-UA"/>
        </w:rPr>
        <w:t>плани територій, плани зонування або схеми планування суміжних територій.</w:t>
      </w:r>
    </w:p>
    <w:p w14:paraId="715BD65C" w14:textId="77777777" w:rsidR="00273115" w:rsidRDefault="00D76C36" w:rsidP="00D76C36">
      <w:pPr>
        <w:tabs>
          <w:tab w:val="left" w:pos="567"/>
        </w:tabs>
        <w:ind w:firstLine="567"/>
        <w:jc w:val="both"/>
        <w:rPr>
          <w:sz w:val="20"/>
          <w:szCs w:val="20"/>
          <w:lang w:val="uk-UA"/>
        </w:rPr>
      </w:pPr>
      <w:r>
        <w:rPr>
          <w:sz w:val="20"/>
          <w:szCs w:val="20"/>
          <w:lang w:val="uk-UA"/>
        </w:rPr>
        <w:t>Процес розроблення Г</w:t>
      </w:r>
      <w:r w:rsidRPr="00CA57D0">
        <w:rPr>
          <w:sz w:val="20"/>
          <w:szCs w:val="20"/>
          <w:lang w:val="uk-UA"/>
        </w:rPr>
        <w:t>енерального</w:t>
      </w:r>
      <w:r>
        <w:rPr>
          <w:sz w:val="20"/>
          <w:szCs w:val="20"/>
          <w:lang w:val="uk-UA"/>
        </w:rPr>
        <w:t xml:space="preserve"> плану передбачає кілька етапів</w:t>
      </w:r>
      <w:r w:rsidR="00273115">
        <w:rPr>
          <w:sz w:val="20"/>
          <w:szCs w:val="20"/>
          <w:lang w:val="uk-UA"/>
        </w:rPr>
        <w:t xml:space="preserve"> (</w:t>
      </w:r>
      <w:r>
        <w:rPr>
          <w:sz w:val="20"/>
          <w:szCs w:val="20"/>
          <w:lang w:val="uk-UA"/>
        </w:rPr>
        <w:t>таб</w:t>
      </w:r>
      <w:r w:rsidR="00273115">
        <w:rPr>
          <w:sz w:val="20"/>
          <w:szCs w:val="20"/>
          <w:lang w:val="uk-UA"/>
        </w:rPr>
        <w:t>лиця</w:t>
      </w:r>
      <w:r>
        <w:rPr>
          <w:sz w:val="20"/>
          <w:szCs w:val="20"/>
          <w:lang w:val="uk-UA"/>
        </w:rPr>
        <w:t xml:space="preserve"> 1</w:t>
      </w:r>
      <w:r w:rsidR="00273115">
        <w:rPr>
          <w:sz w:val="20"/>
          <w:szCs w:val="20"/>
          <w:lang w:val="uk-UA"/>
        </w:rPr>
        <w:t>)</w:t>
      </w:r>
      <w:r>
        <w:rPr>
          <w:sz w:val="20"/>
          <w:szCs w:val="20"/>
          <w:lang w:val="uk-UA"/>
        </w:rPr>
        <w:t>.</w:t>
      </w:r>
      <w:r w:rsidRPr="00CA57D0">
        <w:rPr>
          <w:sz w:val="20"/>
          <w:szCs w:val="20"/>
          <w:lang w:val="uk-UA"/>
        </w:rPr>
        <w:t xml:space="preserve"> Замовником документації виступає орган місцевого самоврядування, а розробником </w:t>
      </w:r>
      <w:r w:rsidR="00273115">
        <w:rPr>
          <w:sz w:val="20"/>
          <w:szCs w:val="20"/>
          <w:lang w:val="uk-UA"/>
        </w:rPr>
        <w:t>–</w:t>
      </w:r>
      <w:r w:rsidRPr="00CA57D0">
        <w:rPr>
          <w:sz w:val="20"/>
          <w:szCs w:val="20"/>
          <w:lang w:val="uk-UA"/>
        </w:rPr>
        <w:t xml:space="preserve"> спеціалізована</w:t>
      </w:r>
      <w:r w:rsidR="00273115">
        <w:rPr>
          <w:sz w:val="20"/>
          <w:szCs w:val="20"/>
          <w:lang w:val="uk-UA"/>
        </w:rPr>
        <w:t xml:space="preserve"> </w:t>
      </w:r>
      <w:r w:rsidRPr="00CA57D0">
        <w:rPr>
          <w:sz w:val="20"/>
          <w:szCs w:val="20"/>
          <w:lang w:val="uk-UA"/>
        </w:rPr>
        <w:t xml:space="preserve">проектна організація, що має відповідну ліцензію. </w:t>
      </w:r>
    </w:p>
    <w:p w14:paraId="03CBB1F9" w14:textId="2AD2DE8E" w:rsidR="000761D7" w:rsidRPr="00CA57D0" w:rsidRDefault="000761D7" w:rsidP="000761D7">
      <w:pPr>
        <w:tabs>
          <w:tab w:val="left" w:pos="567"/>
        </w:tabs>
        <w:jc w:val="both"/>
        <w:rPr>
          <w:sz w:val="16"/>
          <w:szCs w:val="16"/>
          <w:lang w:val="uk-UA"/>
        </w:rPr>
      </w:pPr>
    </w:p>
    <w:p w14:paraId="780B3EBF" w14:textId="60B9A844" w:rsidR="00D27520" w:rsidRPr="00CA57D0" w:rsidRDefault="003F2408" w:rsidP="00273115">
      <w:pPr>
        <w:tabs>
          <w:tab w:val="left" w:pos="567"/>
        </w:tabs>
        <w:ind w:firstLine="567"/>
        <w:jc w:val="center"/>
        <w:rPr>
          <w:sz w:val="20"/>
          <w:szCs w:val="20"/>
          <w:lang w:val="uk-UA"/>
        </w:rPr>
      </w:pPr>
      <w:r w:rsidRPr="00CA57D0">
        <w:rPr>
          <w:sz w:val="20"/>
          <w:szCs w:val="20"/>
          <w:lang w:val="uk-UA"/>
        </w:rPr>
        <w:t>Таблиця 1</w:t>
      </w:r>
      <w:r w:rsidR="00273115">
        <w:rPr>
          <w:sz w:val="20"/>
          <w:szCs w:val="20"/>
          <w:lang w:val="uk-UA"/>
        </w:rPr>
        <w:t xml:space="preserve">. </w:t>
      </w:r>
      <w:r w:rsidR="000761D7" w:rsidRPr="00CA57D0">
        <w:rPr>
          <w:sz w:val="20"/>
          <w:szCs w:val="20"/>
          <w:lang w:val="uk-UA"/>
        </w:rPr>
        <w:t xml:space="preserve">Етапи планування </w:t>
      </w:r>
      <w:r w:rsidR="00481CEF" w:rsidRPr="00CA57D0">
        <w:rPr>
          <w:sz w:val="20"/>
          <w:szCs w:val="20"/>
          <w:lang w:val="uk-UA"/>
        </w:rPr>
        <w:t xml:space="preserve">та основні завдання </w:t>
      </w:r>
      <w:r w:rsidR="00D76C36" w:rsidRPr="00CA57D0">
        <w:rPr>
          <w:sz w:val="20"/>
          <w:szCs w:val="20"/>
          <w:lang w:val="uk-UA"/>
        </w:rPr>
        <w:t xml:space="preserve">ГСП </w:t>
      </w:r>
    </w:p>
    <w:tbl>
      <w:tblPr>
        <w:tblStyle w:val="ae"/>
        <w:tblW w:w="6237" w:type="dxa"/>
        <w:jc w:val="center"/>
        <w:tblLook w:val="04A0" w:firstRow="1" w:lastRow="0" w:firstColumn="1" w:lastColumn="0" w:noHBand="0" w:noVBand="1"/>
      </w:tblPr>
      <w:tblGrid>
        <w:gridCol w:w="407"/>
        <w:gridCol w:w="1715"/>
        <w:gridCol w:w="1984"/>
        <w:gridCol w:w="2131"/>
      </w:tblGrid>
      <w:tr w:rsidR="00D27520" w:rsidRPr="00273115" w14:paraId="79DF749A" w14:textId="77777777" w:rsidTr="00DA5AD9">
        <w:trPr>
          <w:jc w:val="center"/>
        </w:trPr>
        <w:tc>
          <w:tcPr>
            <w:tcW w:w="407" w:type="dxa"/>
          </w:tcPr>
          <w:p w14:paraId="07D4E4D3" w14:textId="5F5E0178" w:rsidR="00D27520" w:rsidRPr="00273115" w:rsidRDefault="00D27520" w:rsidP="00273115">
            <w:pPr>
              <w:tabs>
                <w:tab w:val="left" w:pos="567"/>
              </w:tabs>
              <w:spacing w:before="100" w:beforeAutospacing="1" w:after="100" w:afterAutospacing="1"/>
              <w:jc w:val="center"/>
              <w:rPr>
                <w:sz w:val="20"/>
                <w:szCs w:val="20"/>
                <w:lang w:val="uk-UA"/>
              </w:rPr>
            </w:pPr>
            <w:r w:rsidRPr="00273115">
              <w:rPr>
                <w:bCs/>
                <w:sz w:val="20"/>
                <w:szCs w:val="20"/>
                <w:lang w:val="uk-UA"/>
              </w:rPr>
              <w:t>№</w:t>
            </w:r>
          </w:p>
        </w:tc>
        <w:tc>
          <w:tcPr>
            <w:tcW w:w="1715" w:type="dxa"/>
          </w:tcPr>
          <w:p w14:paraId="0D5B38B7" w14:textId="2A847EF7" w:rsidR="00D27520" w:rsidRPr="00273115" w:rsidRDefault="00D27520" w:rsidP="00273115">
            <w:pPr>
              <w:tabs>
                <w:tab w:val="left" w:pos="567"/>
              </w:tabs>
              <w:spacing w:before="100" w:beforeAutospacing="1" w:after="100" w:afterAutospacing="1"/>
              <w:jc w:val="center"/>
              <w:rPr>
                <w:sz w:val="20"/>
                <w:szCs w:val="20"/>
                <w:lang w:val="uk-UA"/>
              </w:rPr>
            </w:pPr>
            <w:r w:rsidRPr="00273115">
              <w:rPr>
                <w:bCs/>
                <w:sz w:val="20"/>
                <w:szCs w:val="20"/>
                <w:lang w:val="uk-UA"/>
              </w:rPr>
              <w:t>Компонент</w:t>
            </w:r>
          </w:p>
        </w:tc>
        <w:tc>
          <w:tcPr>
            <w:tcW w:w="1984" w:type="dxa"/>
          </w:tcPr>
          <w:p w14:paraId="7F9B7195" w14:textId="4297C14A" w:rsidR="00D27520" w:rsidRPr="00273115" w:rsidRDefault="00D76C36" w:rsidP="00273115">
            <w:pPr>
              <w:tabs>
                <w:tab w:val="left" w:pos="567"/>
              </w:tabs>
              <w:spacing w:before="100" w:beforeAutospacing="1" w:after="100" w:afterAutospacing="1"/>
              <w:jc w:val="center"/>
              <w:rPr>
                <w:sz w:val="20"/>
                <w:szCs w:val="20"/>
                <w:lang w:val="uk-UA"/>
              </w:rPr>
            </w:pPr>
            <w:r w:rsidRPr="00273115">
              <w:rPr>
                <w:bCs/>
                <w:sz w:val="20"/>
                <w:szCs w:val="20"/>
                <w:lang w:val="uk-UA"/>
              </w:rPr>
              <w:t>Суть етапу та його призначення</w:t>
            </w:r>
          </w:p>
        </w:tc>
        <w:tc>
          <w:tcPr>
            <w:tcW w:w="2131" w:type="dxa"/>
          </w:tcPr>
          <w:p w14:paraId="09616EAC" w14:textId="73BA348D" w:rsidR="00D27520" w:rsidRPr="00273115" w:rsidRDefault="00D27520" w:rsidP="00273115">
            <w:pPr>
              <w:tabs>
                <w:tab w:val="left" w:pos="567"/>
              </w:tabs>
              <w:spacing w:before="100" w:beforeAutospacing="1" w:after="100" w:afterAutospacing="1"/>
              <w:jc w:val="center"/>
              <w:rPr>
                <w:sz w:val="20"/>
                <w:szCs w:val="20"/>
                <w:lang w:val="uk-UA"/>
              </w:rPr>
            </w:pPr>
            <w:r w:rsidRPr="00273115">
              <w:rPr>
                <w:bCs/>
                <w:sz w:val="20"/>
                <w:szCs w:val="20"/>
                <w:lang w:val="uk-UA"/>
              </w:rPr>
              <w:t>Основні завдання</w:t>
            </w:r>
          </w:p>
        </w:tc>
      </w:tr>
      <w:tr w:rsidR="00D27520" w:rsidRPr="00CA57D0" w14:paraId="5F6777F2" w14:textId="77777777" w:rsidTr="00DA5AD9">
        <w:trPr>
          <w:jc w:val="center"/>
        </w:trPr>
        <w:tc>
          <w:tcPr>
            <w:tcW w:w="407" w:type="dxa"/>
          </w:tcPr>
          <w:p w14:paraId="0C893A06" w14:textId="76925AD6" w:rsidR="00D27520" w:rsidRPr="00CA57D0" w:rsidRDefault="004956D5" w:rsidP="0066003E">
            <w:pPr>
              <w:tabs>
                <w:tab w:val="left" w:pos="567"/>
              </w:tabs>
              <w:spacing w:before="100" w:beforeAutospacing="1" w:after="100" w:afterAutospacing="1"/>
              <w:jc w:val="both"/>
              <w:rPr>
                <w:sz w:val="20"/>
                <w:szCs w:val="20"/>
                <w:lang w:val="uk-UA"/>
              </w:rPr>
            </w:pPr>
            <w:r w:rsidRPr="00CA57D0">
              <w:rPr>
                <w:sz w:val="20"/>
                <w:szCs w:val="20"/>
                <w:lang w:val="uk-UA"/>
              </w:rPr>
              <w:t>1</w:t>
            </w:r>
          </w:p>
        </w:tc>
        <w:tc>
          <w:tcPr>
            <w:tcW w:w="1715" w:type="dxa"/>
          </w:tcPr>
          <w:p w14:paraId="0783B83F" w14:textId="21C3CE18" w:rsidR="00D27520" w:rsidRPr="00CA57D0" w:rsidRDefault="00D27520" w:rsidP="00273115">
            <w:pPr>
              <w:tabs>
                <w:tab w:val="left" w:pos="567"/>
              </w:tabs>
              <w:spacing w:before="100" w:beforeAutospacing="1" w:after="100" w:afterAutospacing="1"/>
              <w:rPr>
                <w:sz w:val="20"/>
                <w:szCs w:val="20"/>
                <w:lang w:val="uk-UA"/>
              </w:rPr>
            </w:pPr>
            <w:r w:rsidRPr="00CA57D0">
              <w:rPr>
                <w:sz w:val="20"/>
                <w:szCs w:val="20"/>
                <w:lang w:val="uk-UA"/>
              </w:rPr>
              <w:t>Аналіз стану використання території України</w:t>
            </w:r>
            <w:r w:rsidR="00481CEF">
              <w:rPr>
                <w:sz w:val="20"/>
                <w:szCs w:val="20"/>
                <w:lang w:val="uk-UA"/>
              </w:rPr>
              <w:t>.</w:t>
            </w:r>
          </w:p>
        </w:tc>
        <w:tc>
          <w:tcPr>
            <w:tcW w:w="1984" w:type="dxa"/>
          </w:tcPr>
          <w:p w14:paraId="634007F9" w14:textId="455B83C4" w:rsidR="00D27520" w:rsidRPr="00CA57D0" w:rsidRDefault="00D27520" w:rsidP="00273115">
            <w:pPr>
              <w:tabs>
                <w:tab w:val="left" w:pos="567"/>
              </w:tabs>
              <w:spacing w:before="100" w:beforeAutospacing="1" w:after="100" w:afterAutospacing="1"/>
              <w:rPr>
                <w:sz w:val="20"/>
                <w:szCs w:val="20"/>
                <w:lang w:val="uk-UA"/>
              </w:rPr>
            </w:pPr>
            <w:r w:rsidRPr="00CA57D0">
              <w:rPr>
                <w:sz w:val="20"/>
                <w:szCs w:val="20"/>
                <w:lang w:val="uk-UA"/>
              </w:rPr>
              <w:t>Діагностичний етап. Всебічна оцінка поточної ситуації, ресурсів та проблем території.</w:t>
            </w:r>
          </w:p>
        </w:tc>
        <w:tc>
          <w:tcPr>
            <w:tcW w:w="2131" w:type="dxa"/>
          </w:tcPr>
          <w:p w14:paraId="2A7ED96A" w14:textId="239F4B81" w:rsidR="00D27520" w:rsidRPr="00CA57D0" w:rsidRDefault="003F2408" w:rsidP="00273115">
            <w:pPr>
              <w:tabs>
                <w:tab w:val="left" w:pos="567"/>
              </w:tabs>
              <w:spacing w:before="100" w:beforeAutospacing="1" w:after="100" w:afterAutospacing="1"/>
              <w:rPr>
                <w:sz w:val="20"/>
                <w:szCs w:val="20"/>
                <w:lang w:val="uk-UA"/>
              </w:rPr>
            </w:pPr>
            <w:r w:rsidRPr="00CA57D0">
              <w:rPr>
                <w:sz w:val="20"/>
                <w:szCs w:val="20"/>
                <w:lang w:val="uk-UA"/>
              </w:rPr>
              <w:t>Виявлення проблемних зон, оцінка потенціалу</w:t>
            </w:r>
            <w:r w:rsidR="00ED55C2" w:rsidRPr="00CA57D0">
              <w:rPr>
                <w:sz w:val="20"/>
                <w:szCs w:val="20"/>
                <w:lang w:val="uk-UA"/>
              </w:rPr>
              <w:t>,</w:t>
            </w:r>
            <w:r w:rsidRPr="00CA57D0">
              <w:rPr>
                <w:sz w:val="20"/>
                <w:szCs w:val="20"/>
                <w:lang w:val="uk-UA"/>
              </w:rPr>
              <w:t xml:space="preserve"> аналіз демографічних тенденцій.</w:t>
            </w:r>
          </w:p>
        </w:tc>
      </w:tr>
      <w:tr w:rsidR="00D27520" w:rsidRPr="00CA57D0" w14:paraId="430E471E" w14:textId="77777777" w:rsidTr="00DA5AD9">
        <w:trPr>
          <w:jc w:val="center"/>
        </w:trPr>
        <w:tc>
          <w:tcPr>
            <w:tcW w:w="407" w:type="dxa"/>
          </w:tcPr>
          <w:p w14:paraId="1F7160D9" w14:textId="67B3C331" w:rsidR="00D27520" w:rsidRPr="00CA57D0" w:rsidRDefault="004956D5" w:rsidP="0066003E">
            <w:pPr>
              <w:tabs>
                <w:tab w:val="left" w:pos="567"/>
              </w:tabs>
              <w:spacing w:before="100" w:beforeAutospacing="1" w:after="100" w:afterAutospacing="1"/>
              <w:jc w:val="both"/>
              <w:rPr>
                <w:sz w:val="20"/>
                <w:szCs w:val="20"/>
                <w:lang w:val="uk-UA"/>
              </w:rPr>
            </w:pPr>
            <w:r w:rsidRPr="00CA57D0">
              <w:rPr>
                <w:sz w:val="20"/>
                <w:szCs w:val="20"/>
                <w:lang w:val="uk-UA"/>
              </w:rPr>
              <w:t>2</w:t>
            </w:r>
          </w:p>
        </w:tc>
        <w:tc>
          <w:tcPr>
            <w:tcW w:w="1715" w:type="dxa"/>
          </w:tcPr>
          <w:p w14:paraId="5B9D27D1" w14:textId="6FC62D0E" w:rsidR="00D27520" w:rsidRPr="00CA57D0" w:rsidRDefault="00D27520" w:rsidP="00273115">
            <w:pPr>
              <w:tabs>
                <w:tab w:val="left" w:pos="567"/>
              </w:tabs>
              <w:spacing w:before="100" w:beforeAutospacing="1" w:after="100" w:afterAutospacing="1"/>
              <w:rPr>
                <w:sz w:val="20"/>
                <w:szCs w:val="20"/>
                <w:lang w:val="uk-UA"/>
              </w:rPr>
            </w:pPr>
            <w:r w:rsidRPr="00CA57D0">
              <w:rPr>
                <w:sz w:val="20"/>
                <w:szCs w:val="20"/>
                <w:lang w:val="uk-UA"/>
              </w:rPr>
              <w:t>Обґрунтування основних напрямків використання території України</w:t>
            </w:r>
            <w:r w:rsidR="00481CEF">
              <w:rPr>
                <w:sz w:val="20"/>
                <w:szCs w:val="20"/>
                <w:lang w:val="uk-UA"/>
              </w:rPr>
              <w:t>.</w:t>
            </w:r>
          </w:p>
        </w:tc>
        <w:tc>
          <w:tcPr>
            <w:tcW w:w="1984" w:type="dxa"/>
          </w:tcPr>
          <w:p w14:paraId="370D659A" w14:textId="68BA5851" w:rsidR="00D27520" w:rsidRPr="00CA57D0" w:rsidRDefault="00D27520" w:rsidP="00273115">
            <w:pPr>
              <w:tabs>
                <w:tab w:val="left" w:pos="567"/>
              </w:tabs>
              <w:spacing w:before="100" w:beforeAutospacing="1" w:after="100" w:afterAutospacing="1"/>
              <w:rPr>
                <w:sz w:val="20"/>
                <w:szCs w:val="20"/>
                <w:lang w:val="uk-UA"/>
              </w:rPr>
            </w:pPr>
            <w:r w:rsidRPr="00CA57D0">
              <w:rPr>
                <w:sz w:val="20"/>
                <w:szCs w:val="20"/>
                <w:lang w:val="uk-UA"/>
              </w:rPr>
              <w:t>Стратегічний етап. Визначення довгострокових цілей, пріоритетів та векторів розвитку.</w:t>
            </w:r>
          </w:p>
        </w:tc>
        <w:tc>
          <w:tcPr>
            <w:tcW w:w="2131" w:type="dxa"/>
          </w:tcPr>
          <w:p w14:paraId="17FF9545" w14:textId="41BA6CA9" w:rsidR="00D27520" w:rsidRPr="00CA57D0" w:rsidRDefault="003F2408" w:rsidP="00273115">
            <w:pPr>
              <w:tabs>
                <w:tab w:val="left" w:pos="567"/>
              </w:tabs>
              <w:spacing w:before="100" w:beforeAutospacing="1" w:after="100" w:afterAutospacing="1"/>
              <w:rPr>
                <w:sz w:val="20"/>
                <w:szCs w:val="20"/>
                <w:lang w:val="uk-UA"/>
              </w:rPr>
            </w:pPr>
            <w:r w:rsidRPr="00CA57D0">
              <w:rPr>
                <w:sz w:val="20"/>
                <w:szCs w:val="20"/>
                <w:lang w:val="uk-UA"/>
              </w:rPr>
              <w:t>Розробка сценаріїв територіального розвитку, визначення функціонального зонування, прогнозування потреб в інфраструктурі.</w:t>
            </w:r>
          </w:p>
        </w:tc>
      </w:tr>
      <w:tr w:rsidR="003F2408" w:rsidRPr="00CA57D0" w14:paraId="4FEE8642" w14:textId="77777777" w:rsidTr="00DA5AD9">
        <w:trPr>
          <w:jc w:val="center"/>
        </w:trPr>
        <w:tc>
          <w:tcPr>
            <w:tcW w:w="407" w:type="dxa"/>
          </w:tcPr>
          <w:p w14:paraId="15CB1594" w14:textId="76542DF3" w:rsidR="003F2408" w:rsidRPr="00CA57D0" w:rsidRDefault="004956D5" w:rsidP="0066003E">
            <w:pPr>
              <w:tabs>
                <w:tab w:val="left" w:pos="567"/>
              </w:tabs>
              <w:spacing w:before="100" w:beforeAutospacing="1" w:after="100" w:afterAutospacing="1"/>
              <w:jc w:val="both"/>
              <w:rPr>
                <w:sz w:val="20"/>
                <w:szCs w:val="20"/>
                <w:lang w:val="uk-UA"/>
              </w:rPr>
            </w:pPr>
            <w:r w:rsidRPr="00CA57D0">
              <w:rPr>
                <w:sz w:val="20"/>
                <w:szCs w:val="20"/>
                <w:lang w:val="uk-UA"/>
              </w:rPr>
              <w:t>3</w:t>
            </w:r>
          </w:p>
        </w:tc>
        <w:tc>
          <w:tcPr>
            <w:tcW w:w="1715" w:type="dxa"/>
          </w:tcPr>
          <w:p w14:paraId="2B0793C7" w14:textId="20BB7716" w:rsidR="003F2408" w:rsidRPr="00CA57D0" w:rsidRDefault="003F2408" w:rsidP="00273115">
            <w:pPr>
              <w:tabs>
                <w:tab w:val="left" w:pos="567"/>
              </w:tabs>
              <w:spacing w:before="100" w:beforeAutospacing="1" w:after="100" w:afterAutospacing="1"/>
              <w:rPr>
                <w:sz w:val="20"/>
                <w:szCs w:val="20"/>
                <w:lang w:val="uk-UA"/>
              </w:rPr>
            </w:pPr>
            <w:r w:rsidRPr="00CA57D0">
              <w:rPr>
                <w:sz w:val="20"/>
                <w:szCs w:val="20"/>
                <w:lang w:val="uk-UA"/>
              </w:rPr>
              <w:t>Пропозиції щодо реалізації Генеральної схеми планування території України</w:t>
            </w:r>
            <w:r w:rsidR="00481CEF">
              <w:rPr>
                <w:sz w:val="20"/>
                <w:szCs w:val="20"/>
                <w:lang w:val="uk-UA"/>
              </w:rPr>
              <w:t>.</w:t>
            </w:r>
          </w:p>
        </w:tc>
        <w:tc>
          <w:tcPr>
            <w:tcW w:w="1984" w:type="dxa"/>
          </w:tcPr>
          <w:p w14:paraId="5CBCF7EE" w14:textId="75FB164F" w:rsidR="003F2408" w:rsidRPr="00CA57D0" w:rsidRDefault="003F2408" w:rsidP="00273115">
            <w:pPr>
              <w:tabs>
                <w:tab w:val="left" w:pos="567"/>
              </w:tabs>
              <w:spacing w:before="100" w:beforeAutospacing="1" w:after="100" w:afterAutospacing="1"/>
              <w:rPr>
                <w:sz w:val="20"/>
                <w:szCs w:val="20"/>
                <w:lang w:val="uk-UA"/>
              </w:rPr>
            </w:pPr>
            <w:r w:rsidRPr="00CA57D0">
              <w:rPr>
                <w:sz w:val="20"/>
                <w:szCs w:val="20"/>
                <w:lang w:val="uk-UA"/>
              </w:rPr>
              <w:t>Впроваджувальний (</w:t>
            </w:r>
            <w:proofErr w:type="spellStart"/>
            <w:r w:rsidR="00273115">
              <w:rPr>
                <w:sz w:val="20"/>
                <w:szCs w:val="20"/>
                <w:lang w:val="uk-UA"/>
              </w:rPr>
              <w:t>і</w:t>
            </w:r>
            <w:r w:rsidRPr="00CA57D0">
              <w:rPr>
                <w:sz w:val="20"/>
                <w:szCs w:val="20"/>
                <w:lang w:val="uk-UA"/>
              </w:rPr>
              <w:t>мплементаційний</w:t>
            </w:r>
            <w:proofErr w:type="spellEnd"/>
            <w:r w:rsidRPr="00CA57D0">
              <w:rPr>
                <w:sz w:val="20"/>
                <w:szCs w:val="20"/>
                <w:lang w:val="uk-UA"/>
              </w:rPr>
              <w:t>) етап. Перетворення стратегій у конкретні заходи та механізми.</w:t>
            </w:r>
          </w:p>
        </w:tc>
        <w:tc>
          <w:tcPr>
            <w:tcW w:w="2131" w:type="dxa"/>
            <w:vAlign w:val="center"/>
          </w:tcPr>
          <w:p w14:paraId="58805FF8" w14:textId="1D51F5A0" w:rsidR="003F2408" w:rsidRPr="00CA57D0" w:rsidRDefault="003F2408" w:rsidP="00273115">
            <w:pPr>
              <w:tabs>
                <w:tab w:val="left" w:pos="567"/>
              </w:tabs>
              <w:spacing w:before="100" w:beforeAutospacing="1" w:after="100" w:afterAutospacing="1"/>
              <w:rPr>
                <w:sz w:val="20"/>
                <w:szCs w:val="20"/>
                <w:lang w:val="uk-UA"/>
              </w:rPr>
            </w:pPr>
            <w:r w:rsidRPr="00CA57D0">
              <w:rPr>
                <w:sz w:val="20"/>
                <w:szCs w:val="20"/>
                <w:lang w:val="uk-UA"/>
              </w:rPr>
              <w:t>Встановлення черговості та обсягів фінансування, визначення правових та організаційних механізмів, розробка системи моніторингу.</w:t>
            </w:r>
          </w:p>
        </w:tc>
      </w:tr>
    </w:tbl>
    <w:p w14:paraId="2F740821" w14:textId="51035B54" w:rsidR="001352B0" w:rsidRDefault="001352B0" w:rsidP="007F2DAC">
      <w:pPr>
        <w:tabs>
          <w:tab w:val="left" w:pos="567"/>
        </w:tabs>
        <w:ind w:firstLine="567"/>
        <w:jc w:val="both"/>
        <w:rPr>
          <w:sz w:val="16"/>
          <w:szCs w:val="16"/>
          <w:lang w:val="uk-UA"/>
        </w:rPr>
      </w:pPr>
    </w:p>
    <w:p w14:paraId="22185D29" w14:textId="77777777" w:rsidR="00DA5AD9" w:rsidRPr="00CA57D0" w:rsidRDefault="00DA5AD9" w:rsidP="00DA5AD9">
      <w:pPr>
        <w:tabs>
          <w:tab w:val="left" w:pos="567"/>
        </w:tabs>
        <w:ind w:firstLine="567"/>
        <w:jc w:val="both"/>
        <w:rPr>
          <w:sz w:val="20"/>
          <w:szCs w:val="20"/>
          <w:lang w:val="uk-UA"/>
        </w:rPr>
      </w:pPr>
      <w:r w:rsidRPr="00CA57D0">
        <w:rPr>
          <w:sz w:val="20"/>
          <w:szCs w:val="20"/>
          <w:lang w:val="uk-UA"/>
        </w:rPr>
        <w:t xml:space="preserve">Після підготовки </w:t>
      </w:r>
      <w:proofErr w:type="spellStart"/>
      <w:r w:rsidRPr="00CA57D0">
        <w:rPr>
          <w:sz w:val="20"/>
          <w:szCs w:val="20"/>
          <w:lang w:val="uk-UA"/>
        </w:rPr>
        <w:t>проєкту</w:t>
      </w:r>
      <w:proofErr w:type="spellEnd"/>
      <w:r w:rsidRPr="00CA57D0">
        <w:rPr>
          <w:sz w:val="20"/>
          <w:szCs w:val="20"/>
          <w:lang w:val="uk-UA"/>
        </w:rPr>
        <w:t xml:space="preserve"> проводиться громадське обговорення, під час якого мешканці можуть подавати свої пропозиції. Далі документ проходить експертизу на відповідність законодавству, державним будівельним нормам, санітарним і екологічним вимогам. Після цього Генеральний план затверджується рішенням міської ради і підлягає обов’язковому оприлюдненню у відкритому доступі, відповідно до статті 21 Закону України «Про регулювання містобудівної діяльності».</w:t>
      </w:r>
    </w:p>
    <w:p w14:paraId="3EBFF700" w14:textId="0E393FA8" w:rsidR="00273115" w:rsidRDefault="00D76C36" w:rsidP="00D76C36">
      <w:pPr>
        <w:tabs>
          <w:tab w:val="left" w:pos="567"/>
        </w:tabs>
        <w:ind w:firstLine="567"/>
        <w:jc w:val="both"/>
        <w:rPr>
          <w:sz w:val="20"/>
          <w:szCs w:val="20"/>
          <w:lang w:val="uk-UA"/>
        </w:rPr>
      </w:pPr>
      <w:r w:rsidRPr="00CA57D0">
        <w:rPr>
          <w:sz w:val="20"/>
          <w:szCs w:val="20"/>
          <w:lang w:val="uk-UA"/>
        </w:rPr>
        <w:lastRenderedPageBreak/>
        <w:t xml:space="preserve">Контроль за дотриманням положень генерального плану здійснюють органи місцевого самоврядування та Державна інспекція архітектури і містобудування України. </w:t>
      </w:r>
    </w:p>
    <w:p w14:paraId="454ECA94" w14:textId="0289E712" w:rsidR="00D76C36" w:rsidRPr="00D76C36" w:rsidRDefault="00D76C36" w:rsidP="00D76C36">
      <w:pPr>
        <w:tabs>
          <w:tab w:val="left" w:pos="567"/>
        </w:tabs>
        <w:ind w:firstLine="567"/>
        <w:jc w:val="both"/>
        <w:rPr>
          <w:sz w:val="20"/>
          <w:szCs w:val="20"/>
          <w:lang w:val="uk-UA"/>
        </w:rPr>
      </w:pPr>
      <w:r w:rsidRPr="00CA57D0">
        <w:rPr>
          <w:sz w:val="20"/>
          <w:szCs w:val="20"/>
          <w:lang w:val="uk-UA"/>
        </w:rPr>
        <w:t>У разі порушення вимог містобудівного законодавства передбачені адміністративні санкції: зупинення будівельних робіт, штрафи або навіть демонтаж самочинно зведених об’єктів. Цей документ забезпечує правову визначеність і прозорість забудови, а також створює умови для захисту прав громади на безпечне та збалансоване серед</w:t>
      </w:r>
      <w:r w:rsidR="00273115">
        <w:rPr>
          <w:sz w:val="20"/>
          <w:szCs w:val="20"/>
          <w:lang w:val="uk-UA"/>
        </w:rPr>
        <w:t>овище проживання. Таким чином, Г</w:t>
      </w:r>
      <w:r w:rsidRPr="00CA57D0">
        <w:rPr>
          <w:sz w:val="20"/>
          <w:szCs w:val="20"/>
          <w:lang w:val="uk-UA"/>
        </w:rPr>
        <w:t>енеральний план виконує не лише функцію містобудівного документа, а й має вагоме юридичне значення як інструмент реалізації державної політики у сфері сталого розвитку територій.</w:t>
      </w:r>
    </w:p>
    <w:p w14:paraId="33D5806F" w14:textId="23B40863" w:rsidR="000048D9" w:rsidRDefault="000048D9" w:rsidP="00ED55C2">
      <w:pPr>
        <w:tabs>
          <w:tab w:val="left" w:pos="567"/>
        </w:tabs>
        <w:ind w:firstLine="567"/>
        <w:jc w:val="both"/>
        <w:rPr>
          <w:sz w:val="20"/>
          <w:szCs w:val="20"/>
          <w:lang w:val="uk-UA"/>
        </w:rPr>
      </w:pPr>
      <w:r w:rsidRPr="00CA57D0">
        <w:rPr>
          <w:sz w:val="20"/>
          <w:szCs w:val="20"/>
          <w:lang w:val="uk-UA"/>
        </w:rPr>
        <w:t xml:space="preserve">Законодавча база </w:t>
      </w:r>
      <w:r w:rsidR="004C42EB" w:rsidRPr="00CA57D0">
        <w:rPr>
          <w:sz w:val="20"/>
          <w:szCs w:val="20"/>
          <w:lang w:val="uk-UA"/>
        </w:rPr>
        <w:t>ГСП</w:t>
      </w:r>
      <w:r w:rsidR="00DA5AD9">
        <w:rPr>
          <w:sz w:val="20"/>
          <w:szCs w:val="20"/>
          <w:lang w:val="uk-UA"/>
        </w:rPr>
        <w:t xml:space="preserve"> </w:t>
      </w:r>
      <w:r w:rsidRPr="00CA57D0">
        <w:rPr>
          <w:sz w:val="20"/>
          <w:szCs w:val="20"/>
          <w:lang w:val="uk-UA"/>
        </w:rPr>
        <w:t>України</w:t>
      </w:r>
      <w:r w:rsidR="00DA5AD9">
        <w:rPr>
          <w:sz w:val="20"/>
          <w:szCs w:val="20"/>
          <w:lang w:val="uk-UA"/>
        </w:rPr>
        <w:t>:</w:t>
      </w:r>
      <w:r w:rsidRPr="00CA57D0">
        <w:rPr>
          <w:sz w:val="20"/>
          <w:szCs w:val="20"/>
          <w:lang w:val="uk-UA"/>
        </w:rPr>
        <w:t xml:space="preserve"> розробляється та затверджується відповідно до вимог Конституції України та низки спеціальних законів.</w:t>
      </w:r>
      <w:r w:rsidR="00CD1656">
        <w:rPr>
          <w:sz w:val="20"/>
          <w:szCs w:val="20"/>
          <w:lang w:val="uk-UA"/>
        </w:rPr>
        <w:t xml:space="preserve"> </w:t>
      </w:r>
      <w:r w:rsidRPr="00CA57D0">
        <w:rPr>
          <w:sz w:val="20"/>
          <w:szCs w:val="20"/>
          <w:lang w:val="uk-UA"/>
        </w:rPr>
        <w:t>Головним нормативно-правовим актом, що регулює питання планування та забудови територій, є</w:t>
      </w:r>
      <w:r w:rsidR="00CF58A6">
        <w:rPr>
          <w:sz w:val="20"/>
          <w:szCs w:val="20"/>
          <w:lang w:val="uk-UA"/>
        </w:rPr>
        <w:t xml:space="preserve"> </w:t>
      </w:r>
      <w:r w:rsidRPr="00CA57D0">
        <w:rPr>
          <w:sz w:val="20"/>
          <w:szCs w:val="20"/>
          <w:lang w:val="uk-UA"/>
        </w:rPr>
        <w:t>Закон України «Про регулювання містобудівної діяльності».</w:t>
      </w:r>
      <w:r w:rsidR="00311B40" w:rsidRPr="00CA57D0">
        <w:rPr>
          <w:sz w:val="20"/>
          <w:szCs w:val="20"/>
          <w:lang w:val="uk-UA"/>
        </w:rPr>
        <w:t xml:space="preserve"> </w:t>
      </w:r>
      <w:r w:rsidRPr="00CA57D0">
        <w:rPr>
          <w:sz w:val="20"/>
          <w:szCs w:val="20"/>
          <w:lang w:val="uk-UA"/>
        </w:rPr>
        <w:t>Цей Закон визначає мету, склад, порядок розроблення та затвердження Генеральної схеми. Згідно з ним, Генеральна схема є містобудівною документацією державного рівня.</w:t>
      </w:r>
      <w:r w:rsidR="00ED55C2" w:rsidRPr="00CA57D0">
        <w:rPr>
          <w:sz w:val="20"/>
          <w:szCs w:val="20"/>
          <w:lang w:val="uk-UA"/>
        </w:rPr>
        <w:t xml:space="preserve"> </w:t>
      </w:r>
      <w:r w:rsidRPr="00CA57D0">
        <w:rPr>
          <w:sz w:val="20"/>
          <w:szCs w:val="20"/>
          <w:lang w:val="uk-UA"/>
        </w:rPr>
        <w:t>Окрім основного закону, Генеральна схема керується положеннями, що стосуються спеціалізов</w:t>
      </w:r>
      <w:r w:rsidR="00311B40" w:rsidRPr="00CA57D0">
        <w:rPr>
          <w:sz w:val="20"/>
          <w:szCs w:val="20"/>
          <w:lang w:val="uk-UA"/>
        </w:rPr>
        <w:t>аних сфер.</w:t>
      </w:r>
      <w:r w:rsidR="00ED55C2" w:rsidRPr="00CA57D0">
        <w:rPr>
          <w:sz w:val="20"/>
          <w:szCs w:val="20"/>
          <w:lang w:val="uk-UA"/>
        </w:rPr>
        <w:t xml:space="preserve"> </w:t>
      </w:r>
      <w:r w:rsidRPr="00CA57D0">
        <w:rPr>
          <w:sz w:val="20"/>
          <w:szCs w:val="20"/>
          <w:lang w:val="uk-UA"/>
        </w:rPr>
        <w:t>Закон</w:t>
      </w:r>
      <w:r w:rsidR="00273115">
        <w:rPr>
          <w:sz w:val="20"/>
          <w:szCs w:val="20"/>
          <w:lang w:val="uk-UA"/>
        </w:rPr>
        <w:t>и</w:t>
      </w:r>
      <w:r w:rsidRPr="00CA57D0">
        <w:rPr>
          <w:sz w:val="20"/>
          <w:szCs w:val="20"/>
          <w:lang w:val="uk-UA"/>
        </w:rPr>
        <w:t xml:space="preserve"> України «Про основи національної безпеки України» та «Про стратегічну екологічну оцінку»</w:t>
      </w:r>
      <w:r w:rsidR="00311B40" w:rsidRPr="00CA57D0">
        <w:rPr>
          <w:sz w:val="20"/>
          <w:szCs w:val="20"/>
          <w:lang w:val="uk-UA"/>
        </w:rPr>
        <w:t>, з</w:t>
      </w:r>
      <w:r w:rsidRPr="00CA57D0">
        <w:rPr>
          <w:sz w:val="20"/>
          <w:szCs w:val="20"/>
          <w:lang w:val="uk-UA"/>
        </w:rPr>
        <w:t>абезпечують врахування інтересів національної безпеки та екологічних вимог при плануванні.</w:t>
      </w:r>
      <w:r w:rsidR="00ED55C2" w:rsidRPr="00CA57D0">
        <w:rPr>
          <w:sz w:val="20"/>
          <w:szCs w:val="20"/>
          <w:lang w:val="uk-UA"/>
        </w:rPr>
        <w:t xml:space="preserve"> </w:t>
      </w:r>
      <w:r w:rsidRPr="00CA57D0">
        <w:rPr>
          <w:sz w:val="20"/>
          <w:szCs w:val="20"/>
          <w:lang w:val="uk-UA"/>
        </w:rPr>
        <w:t>Земельний кодекс України та Водний кодекс України</w:t>
      </w:r>
      <w:r w:rsidR="00311B40" w:rsidRPr="00CA57D0">
        <w:rPr>
          <w:sz w:val="20"/>
          <w:szCs w:val="20"/>
          <w:lang w:val="uk-UA"/>
        </w:rPr>
        <w:t>, р</w:t>
      </w:r>
      <w:r w:rsidRPr="00CA57D0">
        <w:rPr>
          <w:sz w:val="20"/>
          <w:szCs w:val="20"/>
          <w:lang w:val="uk-UA"/>
        </w:rPr>
        <w:t>егулюють питання використання природних ресурсів, що є об'єктом планування.</w:t>
      </w:r>
      <w:r w:rsidR="00ED55C2" w:rsidRPr="00CA57D0">
        <w:rPr>
          <w:sz w:val="20"/>
          <w:szCs w:val="20"/>
          <w:lang w:val="uk-UA"/>
        </w:rPr>
        <w:t xml:space="preserve"> </w:t>
      </w:r>
      <w:r w:rsidRPr="00CA57D0">
        <w:rPr>
          <w:sz w:val="20"/>
          <w:szCs w:val="20"/>
          <w:lang w:val="uk-UA"/>
        </w:rPr>
        <w:t>Постанови Кабінету Міністрів України та Державні будівельні норми (ДБН)</w:t>
      </w:r>
      <w:r w:rsidR="00311B40" w:rsidRPr="00CA57D0">
        <w:rPr>
          <w:sz w:val="20"/>
          <w:szCs w:val="20"/>
          <w:lang w:val="uk-UA"/>
        </w:rPr>
        <w:t>, д</w:t>
      </w:r>
      <w:r w:rsidRPr="00CA57D0">
        <w:rPr>
          <w:sz w:val="20"/>
          <w:szCs w:val="20"/>
          <w:lang w:val="uk-UA"/>
        </w:rPr>
        <w:t>еталізують вимоги до змісту, оформлення та процедури експертизи містобудівної документації.</w:t>
      </w:r>
    </w:p>
    <w:p w14:paraId="6F786C6B" w14:textId="77777777" w:rsidR="00BD5CB8" w:rsidRDefault="00BD5CB8" w:rsidP="00BD5CB8">
      <w:pPr>
        <w:tabs>
          <w:tab w:val="left" w:pos="567"/>
        </w:tabs>
        <w:ind w:firstLine="567"/>
        <w:jc w:val="both"/>
        <w:rPr>
          <w:sz w:val="20"/>
          <w:szCs w:val="20"/>
          <w:lang w:val="uk-UA"/>
        </w:rPr>
      </w:pPr>
      <w:r w:rsidRPr="009C3679">
        <w:rPr>
          <w:sz w:val="20"/>
          <w:szCs w:val="20"/>
          <w:lang w:val="uk-UA"/>
        </w:rPr>
        <w:t>Основною метою Генеральної схеми планування території України є створення цілісної просторової системи, що забезпечує сталий соціально-економічний розвиток держави, ефективне використання природних ресурсів, охорону довкілля та підвищення якості життя населення.</w:t>
      </w:r>
    </w:p>
    <w:p w14:paraId="79E428E6" w14:textId="4D849FF6" w:rsidR="00BD5CB8" w:rsidRPr="00CA57D0" w:rsidRDefault="00BD5CB8" w:rsidP="00BD5CB8">
      <w:pPr>
        <w:tabs>
          <w:tab w:val="left" w:pos="567"/>
        </w:tabs>
        <w:ind w:firstLine="567"/>
        <w:jc w:val="both"/>
        <w:rPr>
          <w:sz w:val="20"/>
          <w:szCs w:val="20"/>
          <w:lang w:val="uk-UA"/>
        </w:rPr>
      </w:pPr>
      <w:r w:rsidRPr="009C3679">
        <w:rPr>
          <w:sz w:val="20"/>
          <w:szCs w:val="20"/>
          <w:lang w:val="uk-UA"/>
        </w:rPr>
        <w:t>У зв’язку з економічними, демографіч</w:t>
      </w:r>
      <w:r w:rsidR="006028DE">
        <w:rPr>
          <w:sz w:val="20"/>
          <w:szCs w:val="20"/>
          <w:lang w:val="uk-UA"/>
        </w:rPr>
        <w:t xml:space="preserve">ними та геополітичними змінами </w:t>
      </w:r>
      <w:r w:rsidRPr="009C3679">
        <w:rPr>
          <w:sz w:val="20"/>
          <w:szCs w:val="20"/>
          <w:lang w:val="uk-UA"/>
        </w:rPr>
        <w:t xml:space="preserve">Генеральна схема потребує періодичного оновлення. На сьогодні </w:t>
      </w:r>
      <w:r>
        <w:rPr>
          <w:sz w:val="20"/>
          <w:szCs w:val="20"/>
          <w:lang w:val="uk-UA"/>
        </w:rPr>
        <w:t>в Україні потрібно розробити нову редакцію даного</w:t>
      </w:r>
      <w:r w:rsidRPr="009C3679">
        <w:rPr>
          <w:sz w:val="20"/>
          <w:szCs w:val="20"/>
          <w:lang w:val="uk-UA"/>
        </w:rPr>
        <w:t xml:space="preserve"> документа, яка має врахувати сучасні тенденції: євроінтеграційні процеси, децентралізацію, регіональні диспропорції розвитку, кліматичні виклики та потребу у відновленні територій, постраждалих від воєнних дій.</w:t>
      </w:r>
    </w:p>
    <w:p w14:paraId="2D9241DC" w14:textId="4101EC47" w:rsidR="00ED55C2" w:rsidRPr="009C3679" w:rsidRDefault="00ED55C2" w:rsidP="00BD5CB8">
      <w:pPr>
        <w:tabs>
          <w:tab w:val="left" w:pos="567"/>
        </w:tabs>
        <w:jc w:val="both"/>
        <w:rPr>
          <w:sz w:val="20"/>
          <w:szCs w:val="20"/>
          <w:lang w:val="uk-UA"/>
        </w:rPr>
      </w:pPr>
    </w:p>
    <w:p w14:paraId="17BEC821" w14:textId="7FD7B94D" w:rsidR="00A33C67" w:rsidRDefault="00CF58A6" w:rsidP="00CF58A6">
      <w:pPr>
        <w:pStyle w:val="ab"/>
        <w:ind w:left="0" w:firstLine="567"/>
        <w:jc w:val="both"/>
        <w:rPr>
          <w:rFonts w:eastAsia="Calibri"/>
          <w:bCs/>
          <w:sz w:val="18"/>
          <w:szCs w:val="18"/>
          <w:lang w:val="uk-UA"/>
        </w:rPr>
      </w:pPr>
      <w:r w:rsidRPr="00CF58A6">
        <w:rPr>
          <w:rFonts w:eastAsia="Calibri"/>
          <w:bCs/>
          <w:sz w:val="18"/>
          <w:szCs w:val="18"/>
          <w:lang w:val="uk-UA"/>
        </w:rPr>
        <w:t xml:space="preserve">1. </w:t>
      </w:r>
      <w:r w:rsidR="00CD1656" w:rsidRPr="00CD1656">
        <w:rPr>
          <w:rFonts w:eastAsia="Calibri"/>
          <w:bCs/>
          <w:sz w:val="18"/>
          <w:szCs w:val="18"/>
          <w:lang w:val="uk-UA"/>
        </w:rPr>
        <w:t>З</w:t>
      </w:r>
      <w:r w:rsidR="00CD1656">
        <w:rPr>
          <w:rFonts w:eastAsia="Calibri"/>
          <w:bCs/>
          <w:sz w:val="18"/>
          <w:szCs w:val="18"/>
          <w:lang w:val="uk-UA"/>
        </w:rPr>
        <w:t xml:space="preserve">акон України </w:t>
      </w:r>
      <w:r w:rsidR="00CD1656" w:rsidRPr="00CD1656">
        <w:rPr>
          <w:rFonts w:eastAsia="Calibri"/>
          <w:bCs/>
          <w:sz w:val="18"/>
          <w:szCs w:val="18"/>
          <w:lang w:val="uk-UA"/>
        </w:rPr>
        <w:t>«Про Генеральну схему планування території України»</w:t>
      </w:r>
      <w:r w:rsidR="00CD1656">
        <w:rPr>
          <w:rFonts w:eastAsia="Calibri"/>
          <w:bCs/>
          <w:sz w:val="18"/>
          <w:szCs w:val="18"/>
          <w:lang w:val="uk-UA"/>
        </w:rPr>
        <w:t xml:space="preserve">. </w:t>
      </w:r>
      <w:r w:rsidR="00CD1656" w:rsidRPr="00CF58A6">
        <w:rPr>
          <w:rFonts w:eastAsia="Calibri"/>
          <w:bCs/>
          <w:sz w:val="18"/>
          <w:szCs w:val="18"/>
          <w:lang w:val="uk-UA"/>
        </w:rPr>
        <w:t xml:space="preserve">URL: </w:t>
      </w:r>
      <w:hyperlink r:id="rId9" w:anchor="Text" w:history="1">
        <w:r w:rsidR="00CD1656" w:rsidRPr="0025323A">
          <w:rPr>
            <w:rStyle w:val="a3"/>
            <w:rFonts w:eastAsia="Calibri"/>
            <w:bCs/>
            <w:sz w:val="18"/>
            <w:szCs w:val="18"/>
            <w:lang w:val="uk-UA"/>
          </w:rPr>
          <w:t>https://zakon.rada.gov.ua/laws/show/3059-14#Text</w:t>
        </w:r>
      </w:hyperlink>
      <w:r w:rsidR="00CD1656">
        <w:rPr>
          <w:rFonts w:eastAsia="Calibri"/>
          <w:bCs/>
          <w:sz w:val="18"/>
          <w:szCs w:val="18"/>
          <w:lang w:val="uk-UA"/>
        </w:rPr>
        <w:t xml:space="preserve"> . 2. </w:t>
      </w:r>
      <w:r w:rsidR="00114E2A" w:rsidRPr="00CF58A6">
        <w:rPr>
          <w:rFonts w:eastAsia="Calibri"/>
          <w:bCs/>
          <w:sz w:val="18"/>
          <w:szCs w:val="18"/>
          <w:lang w:val="uk-UA"/>
        </w:rPr>
        <w:t>ДБН Б.2.2-12:2019 Планува</w:t>
      </w:r>
      <w:r w:rsidR="003B1F3F" w:rsidRPr="00CF58A6">
        <w:rPr>
          <w:rFonts w:eastAsia="Calibri"/>
          <w:bCs/>
          <w:sz w:val="18"/>
          <w:szCs w:val="18"/>
          <w:lang w:val="uk-UA"/>
        </w:rPr>
        <w:t>ння та забудова територій. URL:</w:t>
      </w:r>
      <w:r w:rsidR="00114E2A" w:rsidRPr="00CF58A6">
        <w:rPr>
          <w:rFonts w:eastAsia="Calibri"/>
          <w:bCs/>
          <w:sz w:val="18"/>
          <w:szCs w:val="18"/>
          <w:lang w:val="uk-UA"/>
        </w:rPr>
        <w:t xml:space="preserve"> </w:t>
      </w:r>
      <w:hyperlink r:id="rId10" w:history="1">
        <w:r w:rsidRPr="001714E1">
          <w:rPr>
            <w:rStyle w:val="a3"/>
            <w:rFonts w:eastAsia="Calibri"/>
            <w:bCs/>
            <w:sz w:val="18"/>
            <w:szCs w:val="18"/>
            <w:lang w:val="uk-UA"/>
          </w:rPr>
          <w:t>https://dbn.co.ua/pay/pub01/dbn-B-2212_planuvannya.pdf</w:t>
        </w:r>
      </w:hyperlink>
      <w:r w:rsidR="00CD1656">
        <w:rPr>
          <w:rFonts w:eastAsia="Calibri"/>
          <w:bCs/>
          <w:sz w:val="18"/>
          <w:szCs w:val="18"/>
          <w:lang w:val="uk-UA"/>
        </w:rPr>
        <w:t xml:space="preserve"> .</w:t>
      </w:r>
    </w:p>
    <w:p w14:paraId="2DD00E5D" w14:textId="77777777" w:rsidR="00481CEF" w:rsidRPr="00CF58A6" w:rsidRDefault="00481CEF" w:rsidP="00CF58A6">
      <w:pPr>
        <w:pStyle w:val="ab"/>
        <w:ind w:left="0" w:firstLine="567"/>
        <w:jc w:val="both"/>
        <w:rPr>
          <w:rFonts w:eastAsia="Calibri"/>
          <w:bCs/>
          <w:sz w:val="18"/>
          <w:szCs w:val="18"/>
          <w:lang w:val="uk-UA"/>
        </w:rPr>
      </w:pPr>
    </w:p>
    <w:sectPr w:rsidR="00481CEF" w:rsidRPr="00CF58A6" w:rsidSect="007054A1">
      <w:pgSz w:w="8392" w:h="11907"/>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A268C" w14:textId="77777777" w:rsidR="00F66F1E" w:rsidRDefault="00F66F1E" w:rsidP="00706F17">
      <w:r>
        <w:separator/>
      </w:r>
    </w:p>
  </w:endnote>
  <w:endnote w:type="continuationSeparator" w:id="0">
    <w:p w14:paraId="2591A621" w14:textId="77777777" w:rsidR="00F66F1E" w:rsidRDefault="00F66F1E" w:rsidP="0070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2E781" w14:textId="77777777" w:rsidR="00F66F1E" w:rsidRDefault="00F66F1E" w:rsidP="00706F17">
      <w:r>
        <w:separator/>
      </w:r>
    </w:p>
  </w:footnote>
  <w:footnote w:type="continuationSeparator" w:id="0">
    <w:p w14:paraId="3A21D6A3" w14:textId="77777777" w:rsidR="00F66F1E" w:rsidRDefault="00F66F1E" w:rsidP="00706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119AB"/>
    <w:multiLevelType w:val="hybridMultilevel"/>
    <w:tmpl w:val="78B42D9C"/>
    <w:lvl w:ilvl="0" w:tplc="7442770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3311DA2"/>
    <w:multiLevelType w:val="hybridMultilevel"/>
    <w:tmpl w:val="3BD6E68C"/>
    <w:lvl w:ilvl="0" w:tplc="0422000F">
      <w:start w:val="1"/>
      <w:numFmt w:val="decimal"/>
      <w:lvlText w:val="%1."/>
      <w:lvlJc w:val="left"/>
      <w:pPr>
        <w:ind w:left="720" w:hanging="360"/>
      </w:pPr>
      <w:rPr>
        <w:rFonts w:eastAsia="Times New Roman"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594520"/>
    <w:multiLevelType w:val="multilevel"/>
    <w:tmpl w:val="5C10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D21BE"/>
    <w:multiLevelType w:val="hybridMultilevel"/>
    <w:tmpl w:val="DE82A026"/>
    <w:lvl w:ilvl="0" w:tplc="A900D716">
      <w:start w:val="27"/>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7113AFE"/>
    <w:multiLevelType w:val="multilevel"/>
    <w:tmpl w:val="CC1A8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115FE"/>
    <w:multiLevelType w:val="hybridMultilevel"/>
    <w:tmpl w:val="FADE9ADC"/>
    <w:lvl w:ilvl="0" w:tplc="35B0267E">
      <w:start w:val="50"/>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6" w15:restartNumberingAfterBreak="0">
    <w:nsid w:val="22415005"/>
    <w:multiLevelType w:val="multilevel"/>
    <w:tmpl w:val="4260D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274A5"/>
    <w:multiLevelType w:val="multilevel"/>
    <w:tmpl w:val="49387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AD82365"/>
    <w:multiLevelType w:val="hybridMultilevel"/>
    <w:tmpl w:val="47E8F1F2"/>
    <w:lvl w:ilvl="0" w:tplc="C4B606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0F5298D"/>
    <w:multiLevelType w:val="hybridMultilevel"/>
    <w:tmpl w:val="C3FE77EC"/>
    <w:lvl w:ilvl="0" w:tplc="0422000F">
      <w:start w:val="1"/>
      <w:numFmt w:val="decimal"/>
      <w:lvlText w:val="%1."/>
      <w:lvlJc w:val="left"/>
      <w:pPr>
        <w:ind w:left="720" w:hanging="360"/>
      </w:pPr>
      <w:rPr>
        <w:rFonts w:eastAsia="Times New Roman"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0963EF0"/>
    <w:multiLevelType w:val="multilevel"/>
    <w:tmpl w:val="75D6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B0DEB"/>
    <w:multiLevelType w:val="multilevel"/>
    <w:tmpl w:val="4574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BD29A0"/>
    <w:multiLevelType w:val="hybridMultilevel"/>
    <w:tmpl w:val="9118DCFC"/>
    <w:lvl w:ilvl="0" w:tplc="76342F0A">
      <w:start w:val="1"/>
      <w:numFmt w:val="decimal"/>
      <w:lvlText w:val="%1."/>
      <w:lvlJc w:val="left"/>
      <w:pPr>
        <w:tabs>
          <w:tab w:val="num" w:pos="915"/>
        </w:tabs>
        <w:ind w:left="915" w:hanging="55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B3C581F"/>
    <w:multiLevelType w:val="hybridMultilevel"/>
    <w:tmpl w:val="D280FFC8"/>
    <w:lvl w:ilvl="0" w:tplc="EFC2724C">
      <w:start w:val="1"/>
      <w:numFmt w:val="decimal"/>
      <w:lvlText w:val="%1."/>
      <w:lvlJc w:val="left"/>
      <w:pPr>
        <w:ind w:left="426" w:hanging="360"/>
      </w:pPr>
      <w:rPr>
        <w:rFonts w:hint="default"/>
        <w:b w:val="0"/>
        <w:u w:val="none"/>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14" w15:restartNumberingAfterBreak="0">
    <w:nsid w:val="7059494B"/>
    <w:multiLevelType w:val="hybridMultilevel"/>
    <w:tmpl w:val="8846826C"/>
    <w:lvl w:ilvl="0" w:tplc="807CA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2E26A1"/>
    <w:multiLevelType w:val="hybridMultilevel"/>
    <w:tmpl w:val="506CB36A"/>
    <w:lvl w:ilvl="0" w:tplc="04190001">
      <w:start w:val="1"/>
      <w:numFmt w:val="bullet"/>
      <w:lvlText w:val=""/>
      <w:lvlJc w:val="left"/>
      <w:pPr>
        <w:tabs>
          <w:tab w:val="num" w:pos="1183"/>
        </w:tabs>
        <w:ind w:left="1183"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92334C"/>
    <w:multiLevelType w:val="hybridMultilevel"/>
    <w:tmpl w:val="C66C9070"/>
    <w:lvl w:ilvl="0" w:tplc="CCD0D8FC">
      <w:start w:val="1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5"/>
  </w:num>
  <w:num w:numId="2">
    <w:abstractNumId w:val="3"/>
  </w:num>
  <w:num w:numId="3">
    <w:abstractNumId w:val="12"/>
  </w:num>
  <w:num w:numId="4">
    <w:abstractNumId w:val="14"/>
  </w:num>
  <w:num w:numId="5">
    <w:abstractNumId w:val="13"/>
  </w:num>
  <w:num w:numId="6">
    <w:abstractNumId w:val="4"/>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11"/>
  </w:num>
  <w:num w:numId="12">
    <w:abstractNumId w:val="0"/>
  </w:num>
  <w:num w:numId="13">
    <w:abstractNumId w:val="8"/>
  </w:num>
  <w:num w:numId="14">
    <w:abstractNumId w:val="1"/>
  </w:num>
  <w:num w:numId="15">
    <w:abstractNumId w:val="16"/>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o:colormru v:ext="edit" colors="#c5d3ff,#e1e8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06"/>
    <w:rsid w:val="0000158E"/>
    <w:rsid w:val="00001F44"/>
    <w:rsid w:val="000048D9"/>
    <w:rsid w:val="0001386B"/>
    <w:rsid w:val="000761D7"/>
    <w:rsid w:val="00084ABC"/>
    <w:rsid w:val="00094F57"/>
    <w:rsid w:val="000A1A8E"/>
    <w:rsid w:val="000A35E9"/>
    <w:rsid w:val="000A452E"/>
    <w:rsid w:val="000B00D1"/>
    <w:rsid w:val="000B048A"/>
    <w:rsid w:val="000C17E0"/>
    <w:rsid w:val="000C49F0"/>
    <w:rsid w:val="000D7DDD"/>
    <w:rsid w:val="000D7E72"/>
    <w:rsid w:val="000E5495"/>
    <w:rsid w:val="000E629E"/>
    <w:rsid w:val="000F3034"/>
    <w:rsid w:val="00100CFB"/>
    <w:rsid w:val="001029C6"/>
    <w:rsid w:val="00102E90"/>
    <w:rsid w:val="00106A68"/>
    <w:rsid w:val="0011298D"/>
    <w:rsid w:val="00114E2A"/>
    <w:rsid w:val="00120B84"/>
    <w:rsid w:val="001253D6"/>
    <w:rsid w:val="001346DD"/>
    <w:rsid w:val="001352B0"/>
    <w:rsid w:val="00142D4D"/>
    <w:rsid w:val="001518F8"/>
    <w:rsid w:val="001625BE"/>
    <w:rsid w:val="0016607D"/>
    <w:rsid w:val="00167B13"/>
    <w:rsid w:val="00172025"/>
    <w:rsid w:val="00183BF4"/>
    <w:rsid w:val="00187353"/>
    <w:rsid w:val="001A0CBA"/>
    <w:rsid w:val="001A6C87"/>
    <w:rsid w:val="001D300E"/>
    <w:rsid w:val="001D5FE5"/>
    <w:rsid w:val="001E535E"/>
    <w:rsid w:val="001F4CCB"/>
    <w:rsid w:val="00201512"/>
    <w:rsid w:val="002035D0"/>
    <w:rsid w:val="002039EC"/>
    <w:rsid w:val="00223420"/>
    <w:rsid w:val="002569D9"/>
    <w:rsid w:val="002602D3"/>
    <w:rsid w:val="002727EB"/>
    <w:rsid w:val="00273115"/>
    <w:rsid w:val="00275C02"/>
    <w:rsid w:val="00277026"/>
    <w:rsid w:val="00285662"/>
    <w:rsid w:val="00285894"/>
    <w:rsid w:val="00285CEB"/>
    <w:rsid w:val="002A44E8"/>
    <w:rsid w:val="002B05D7"/>
    <w:rsid w:val="002C555E"/>
    <w:rsid w:val="002E43A9"/>
    <w:rsid w:val="003025E8"/>
    <w:rsid w:val="003078F1"/>
    <w:rsid w:val="00311B40"/>
    <w:rsid w:val="003267BC"/>
    <w:rsid w:val="00334902"/>
    <w:rsid w:val="00355239"/>
    <w:rsid w:val="0035653B"/>
    <w:rsid w:val="00362638"/>
    <w:rsid w:val="00363C2B"/>
    <w:rsid w:val="0036403A"/>
    <w:rsid w:val="003740DF"/>
    <w:rsid w:val="00374E07"/>
    <w:rsid w:val="00383E54"/>
    <w:rsid w:val="00385919"/>
    <w:rsid w:val="003A6E12"/>
    <w:rsid w:val="003A7D57"/>
    <w:rsid w:val="003B1299"/>
    <w:rsid w:val="003B1F3F"/>
    <w:rsid w:val="003C0376"/>
    <w:rsid w:val="003C16D9"/>
    <w:rsid w:val="003C2973"/>
    <w:rsid w:val="003C6836"/>
    <w:rsid w:val="003F1655"/>
    <w:rsid w:val="003F2408"/>
    <w:rsid w:val="003F7E66"/>
    <w:rsid w:val="004229FA"/>
    <w:rsid w:val="00425A36"/>
    <w:rsid w:val="004338F5"/>
    <w:rsid w:val="0045314F"/>
    <w:rsid w:val="00480E0F"/>
    <w:rsid w:val="00481CD6"/>
    <w:rsid w:val="00481CEF"/>
    <w:rsid w:val="004956D5"/>
    <w:rsid w:val="004A18A2"/>
    <w:rsid w:val="004C292B"/>
    <w:rsid w:val="004C42EB"/>
    <w:rsid w:val="004D6EDC"/>
    <w:rsid w:val="004F52EE"/>
    <w:rsid w:val="00515836"/>
    <w:rsid w:val="00521329"/>
    <w:rsid w:val="00536007"/>
    <w:rsid w:val="00545312"/>
    <w:rsid w:val="00563772"/>
    <w:rsid w:val="0058262F"/>
    <w:rsid w:val="005849A9"/>
    <w:rsid w:val="005870E0"/>
    <w:rsid w:val="005B5FC2"/>
    <w:rsid w:val="005D5EAD"/>
    <w:rsid w:val="006021F9"/>
    <w:rsid w:val="006028DE"/>
    <w:rsid w:val="006154F5"/>
    <w:rsid w:val="00624C5F"/>
    <w:rsid w:val="00643207"/>
    <w:rsid w:val="00647706"/>
    <w:rsid w:val="00654286"/>
    <w:rsid w:val="006577CF"/>
    <w:rsid w:val="0066003E"/>
    <w:rsid w:val="006753B4"/>
    <w:rsid w:val="006917F8"/>
    <w:rsid w:val="006A54D6"/>
    <w:rsid w:val="006E6284"/>
    <w:rsid w:val="006F45A6"/>
    <w:rsid w:val="00704122"/>
    <w:rsid w:val="007054A1"/>
    <w:rsid w:val="00706F17"/>
    <w:rsid w:val="00712DB4"/>
    <w:rsid w:val="007343A3"/>
    <w:rsid w:val="007421CB"/>
    <w:rsid w:val="007443CC"/>
    <w:rsid w:val="007469F9"/>
    <w:rsid w:val="007534A2"/>
    <w:rsid w:val="00754F31"/>
    <w:rsid w:val="00764BB0"/>
    <w:rsid w:val="007769BA"/>
    <w:rsid w:val="007A0D26"/>
    <w:rsid w:val="007A7E08"/>
    <w:rsid w:val="007B7F3F"/>
    <w:rsid w:val="007C6E2F"/>
    <w:rsid w:val="007D367A"/>
    <w:rsid w:val="007D4706"/>
    <w:rsid w:val="007E7537"/>
    <w:rsid w:val="007F2DAC"/>
    <w:rsid w:val="00832775"/>
    <w:rsid w:val="00843A9F"/>
    <w:rsid w:val="008532C3"/>
    <w:rsid w:val="008557CF"/>
    <w:rsid w:val="00871415"/>
    <w:rsid w:val="00873AEE"/>
    <w:rsid w:val="00877D8F"/>
    <w:rsid w:val="00881082"/>
    <w:rsid w:val="008846DD"/>
    <w:rsid w:val="008910B5"/>
    <w:rsid w:val="008A5EA6"/>
    <w:rsid w:val="008A7D8B"/>
    <w:rsid w:val="008D586E"/>
    <w:rsid w:val="008E1A51"/>
    <w:rsid w:val="008F2F1E"/>
    <w:rsid w:val="008F6B20"/>
    <w:rsid w:val="00902FFA"/>
    <w:rsid w:val="009064C3"/>
    <w:rsid w:val="00910C5C"/>
    <w:rsid w:val="00920006"/>
    <w:rsid w:val="0092081E"/>
    <w:rsid w:val="00922568"/>
    <w:rsid w:val="009460A1"/>
    <w:rsid w:val="00950B0E"/>
    <w:rsid w:val="00954F38"/>
    <w:rsid w:val="0098400F"/>
    <w:rsid w:val="009C3679"/>
    <w:rsid w:val="009E5F2B"/>
    <w:rsid w:val="00A00FC7"/>
    <w:rsid w:val="00A02C06"/>
    <w:rsid w:val="00A05D06"/>
    <w:rsid w:val="00A1381D"/>
    <w:rsid w:val="00A16F8B"/>
    <w:rsid w:val="00A33C67"/>
    <w:rsid w:val="00A650FD"/>
    <w:rsid w:val="00A8250A"/>
    <w:rsid w:val="00A856C7"/>
    <w:rsid w:val="00A927E0"/>
    <w:rsid w:val="00A973E6"/>
    <w:rsid w:val="00AA5A33"/>
    <w:rsid w:val="00AA7535"/>
    <w:rsid w:val="00AB6D2A"/>
    <w:rsid w:val="00AB78A7"/>
    <w:rsid w:val="00AC2262"/>
    <w:rsid w:val="00AC2427"/>
    <w:rsid w:val="00AC6E6B"/>
    <w:rsid w:val="00AF2310"/>
    <w:rsid w:val="00AF3A67"/>
    <w:rsid w:val="00B1400E"/>
    <w:rsid w:val="00B20297"/>
    <w:rsid w:val="00B315DE"/>
    <w:rsid w:val="00B32CBC"/>
    <w:rsid w:val="00B4116A"/>
    <w:rsid w:val="00B46586"/>
    <w:rsid w:val="00B62BEA"/>
    <w:rsid w:val="00B7012E"/>
    <w:rsid w:val="00B771AA"/>
    <w:rsid w:val="00B77470"/>
    <w:rsid w:val="00B867E9"/>
    <w:rsid w:val="00B92436"/>
    <w:rsid w:val="00B953E5"/>
    <w:rsid w:val="00BB0E6E"/>
    <w:rsid w:val="00BB2FEE"/>
    <w:rsid w:val="00BD5CB8"/>
    <w:rsid w:val="00BE5914"/>
    <w:rsid w:val="00C07166"/>
    <w:rsid w:val="00C16873"/>
    <w:rsid w:val="00C24EC3"/>
    <w:rsid w:val="00C34A6C"/>
    <w:rsid w:val="00C50FCB"/>
    <w:rsid w:val="00C52733"/>
    <w:rsid w:val="00C5661C"/>
    <w:rsid w:val="00C63F11"/>
    <w:rsid w:val="00C747B3"/>
    <w:rsid w:val="00C91D12"/>
    <w:rsid w:val="00CA57D0"/>
    <w:rsid w:val="00CB2981"/>
    <w:rsid w:val="00CB6350"/>
    <w:rsid w:val="00CD1656"/>
    <w:rsid w:val="00CF58A6"/>
    <w:rsid w:val="00D00F7D"/>
    <w:rsid w:val="00D10209"/>
    <w:rsid w:val="00D10C30"/>
    <w:rsid w:val="00D162BD"/>
    <w:rsid w:val="00D27520"/>
    <w:rsid w:val="00D31B8F"/>
    <w:rsid w:val="00D6100E"/>
    <w:rsid w:val="00D658AD"/>
    <w:rsid w:val="00D708F6"/>
    <w:rsid w:val="00D76C36"/>
    <w:rsid w:val="00D7709C"/>
    <w:rsid w:val="00D863C8"/>
    <w:rsid w:val="00D90F4F"/>
    <w:rsid w:val="00DA5AD9"/>
    <w:rsid w:val="00DB44D6"/>
    <w:rsid w:val="00DB6122"/>
    <w:rsid w:val="00DB73C6"/>
    <w:rsid w:val="00DD07FC"/>
    <w:rsid w:val="00DD50A2"/>
    <w:rsid w:val="00DE1BDA"/>
    <w:rsid w:val="00DE7245"/>
    <w:rsid w:val="00DF426F"/>
    <w:rsid w:val="00E152C4"/>
    <w:rsid w:val="00E510DF"/>
    <w:rsid w:val="00E51C31"/>
    <w:rsid w:val="00E53793"/>
    <w:rsid w:val="00E57949"/>
    <w:rsid w:val="00E606B5"/>
    <w:rsid w:val="00E610CD"/>
    <w:rsid w:val="00E73BE7"/>
    <w:rsid w:val="00E86CB2"/>
    <w:rsid w:val="00E90BFC"/>
    <w:rsid w:val="00E90C92"/>
    <w:rsid w:val="00E9379E"/>
    <w:rsid w:val="00EA69A4"/>
    <w:rsid w:val="00EC5F8C"/>
    <w:rsid w:val="00EC687E"/>
    <w:rsid w:val="00ED55C2"/>
    <w:rsid w:val="00ED742F"/>
    <w:rsid w:val="00ED76B7"/>
    <w:rsid w:val="00F06753"/>
    <w:rsid w:val="00F15BDC"/>
    <w:rsid w:val="00F66F1E"/>
    <w:rsid w:val="00F70D96"/>
    <w:rsid w:val="00F74498"/>
    <w:rsid w:val="00F866E9"/>
    <w:rsid w:val="00FA00AF"/>
    <w:rsid w:val="00FA4989"/>
    <w:rsid w:val="00FA5E94"/>
    <w:rsid w:val="00FB6C28"/>
    <w:rsid w:val="00FC7709"/>
    <w:rsid w:val="00FD2A92"/>
    <w:rsid w:val="00FE26D9"/>
    <w:rsid w:val="00FF54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5d3ff,#e1e8ff"/>
    </o:shapedefaults>
    <o:shapelayout v:ext="edit">
      <o:idmap v:ext="edit" data="1"/>
    </o:shapelayout>
  </w:shapeDefaults>
  <w:decimalSymbol w:val=","/>
  <w:listSeparator w:val=";"/>
  <w14:docId w14:val="24F2E9A5"/>
  <w15:docId w15:val="{A79F3DAF-E7F8-41AD-9545-7FF01C53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00E"/>
    <w:rPr>
      <w:rFonts w:eastAsia="Times New Roman" w:cs="Times New Roman"/>
      <w:sz w:val="24"/>
      <w:szCs w:val="24"/>
      <w:lang w:val="ru-RU" w:eastAsia="ru-RU"/>
    </w:rPr>
  </w:style>
  <w:style w:type="paragraph" w:styleId="2">
    <w:name w:val="heading 2"/>
    <w:basedOn w:val="a"/>
    <w:next w:val="a"/>
    <w:link w:val="20"/>
    <w:uiPriority w:val="9"/>
    <w:qFormat/>
    <w:rsid w:val="00647706"/>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7443CC"/>
    <w:pPr>
      <w:keepNext/>
      <w:keepLines/>
      <w:spacing w:before="40"/>
      <w:outlineLvl w:val="2"/>
    </w:pPr>
    <w:rPr>
      <w:rFonts w:asciiTheme="majorHAnsi" w:eastAsiaTheme="majorEastAsia" w:hAnsiTheme="majorHAnsi" w:cstheme="majorBidi"/>
      <w:color w:val="1F3763" w:themeColor="accent1" w:themeShade="7F"/>
    </w:rPr>
  </w:style>
  <w:style w:type="paragraph" w:styleId="9">
    <w:name w:val="heading 9"/>
    <w:basedOn w:val="a"/>
    <w:next w:val="a"/>
    <w:link w:val="90"/>
    <w:uiPriority w:val="9"/>
    <w:semiHidden/>
    <w:unhideWhenUsed/>
    <w:qFormat/>
    <w:rsid w:val="003859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706"/>
    <w:rPr>
      <w:rFonts w:ascii="Cambria" w:eastAsia="Times New Roman" w:hAnsi="Cambria" w:cs="Times New Roman"/>
      <w:b/>
      <w:bCs/>
      <w:i/>
      <w:iCs/>
      <w:szCs w:val="28"/>
      <w:lang w:val="ru-RU" w:eastAsia="ru-RU"/>
    </w:rPr>
  </w:style>
  <w:style w:type="character" w:styleId="a3">
    <w:name w:val="Hyperlink"/>
    <w:uiPriority w:val="99"/>
    <w:rsid w:val="00647706"/>
    <w:rPr>
      <w:color w:val="0000FF"/>
      <w:u w:val="single"/>
    </w:rPr>
  </w:style>
  <w:style w:type="character" w:customStyle="1" w:styleId="90">
    <w:name w:val="Заголовок 9 Знак"/>
    <w:basedOn w:val="a0"/>
    <w:link w:val="9"/>
    <w:uiPriority w:val="9"/>
    <w:semiHidden/>
    <w:rsid w:val="00385919"/>
    <w:rPr>
      <w:rFonts w:asciiTheme="majorHAnsi" w:eastAsiaTheme="majorEastAsia" w:hAnsiTheme="majorHAnsi" w:cstheme="majorBidi"/>
      <w:i/>
      <w:iCs/>
      <w:color w:val="272727" w:themeColor="text1" w:themeTint="D8"/>
      <w:sz w:val="21"/>
      <w:szCs w:val="21"/>
      <w:lang w:val="ru-RU" w:eastAsia="ru-RU"/>
    </w:rPr>
  </w:style>
  <w:style w:type="paragraph" w:customStyle="1" w:styleId="zfr3q">
    <w:name w:val="zfr3q"/>
    <w:basedOn w:val="a"/>
    <w:rsid w:val="00385919"/>
    <w:pPr>
      <w:spacing w:before="100" w:beforeAutospacing="1" w:after="100" w:afterAutospacing="1"/>
    </w:pPr>
  </w:style>
  <w:style w:type="character" w:customStyle="1" w:styleId="1">
    <w:name w:val="Незакрита згадка1"/>
    <w:basedOn w:val="a0"/>
    <w:uiPriority w:val="99"/>
    <w:semiHidden/>
    <w:unhideWhenUsed/>
    <w:rsid w:val="008532C3"/>
    <w:rPr>
      <w:color w:val="605E5C"/>
      <w:shd w:val="clear" w:color="auto" w:fill="E1DFDD"/>
    </w:rPr>
  </w:style>
  <w:style w:type="paragraph" w:styleId="a4">
    <w:name w:val="header"/>
    <w:basedOn w:val="a"/>
    <w:link w:val="a5"/>
    <w:uiPriority w:val="99"/>
    <w:unhideWhenUsed/>
    <w:rsid w:val="00706F17"/>
    <w:pPr>
      <w:tabs>
        <w:tab w:val="center" w:pos="4677"/>
        <w:tab w:val="right" w:pos="9355"/>
      </w:tabs>
    </w:pPr>
  </w:style>
  <w:style w:type="character" w:customStyle="1" w:styleId="a5">
    <w:name w:val="Верхний колонтитул Знак"/>
    <w:basedOn w:val="a0"/>
    <w:link w:val="a4"/>
    <w:uiPriority w:val="99"/>
    <w:rsid w:val="00706F17"/>
    <w:rPr>
      <w:rFonts w:eastAsia="Times New Roman" w:cs="Times New Roman"/>
      <w:sz w:val="24"/>
      <w:szCs w:val="24"/>
      <w:lang w:val="ru-RU" w:eastAsia="ru-RU"/>
    </w:rPr>
  </w:style>
  <w:style w:type="paragraph" w:styleId="a6">
    <w:name w:val="footer"/>
    <w:basedOn w:val="a"/>
    <w:link w:val="a7"/>
    <w:uiPriority w:val="99"/>
    <w:unhideWhenUsed/>
    <w:rsid w:val="00706F17"/>
    <w:pPr>
      <w:tabs>
        <w:tab w:val="center" w:pos="4677"/>
        <w:tab w:val="right" w:pos="9355"/>
      </w:tabs>
    </w:pPr>
  </w:style>
  <w:style w:type="character" w:customStyle="1" w:styleId="a7">
    <w:name w:val="Нижний колонтитул Знак"/>
    <w:basedOn w:val="a0"/>
    <w:link w:val="a6"/>
    <w:uiPriority w:val="99"/>
    <w:rsid w:val="00706F17"/>
    <w:rPr>
      <w:rFonts w:eastAsia="Times New Roman" w:cs="Times New Roman"/>
      <w:sz w:val="24"/>
      <w:szCs w:val="24"/>
      <w:lang w:val="ru-RU" w:eastAsia="ru-RU"/>
    </w:rPr>
  </w:style>
  <w:style w:type="character" w:styleId="a8">
    <w:name w:val="FollowedHyperlink"/>
    <w:basedOn w:val="a0"/>
    <w:uiPriority w:val="99"/>
    <w:semiHidden/>
    <w:unhideWhenUsed/>
    <w:rsid w:val="00D708F6"/>
    <w:rPr>
      <w:color w:val="954F72" w:themeColor="followedHyperlink"/>
      <w:u w:val="single"/>
    </w:rPr>
  </w:style>
  <w:style w:type="character" w:customStyle="1" w:styleId="30">
    <w:name w:val="Заголовок 3 Знак"/>
    <w:basedOn w:val="a0"/>
    <w:link w:val="3"/>
    <w:uiPriority w:val="9"/>
    <w:semiHidden/>
    <w:rsid w:val="007443CC"/>
    <w:rPr>
      <w:rFonts w:asciiTheme="majorHAnsi" w:eastAsiaTheme="majorEastAsia" w:hAnsiTheme="majorHAnsi" w:cstheme="majorBidi"/>
      <w:color w:val="1F3763" w:themeColor="accent1" w:themeShade="7F"/>
      <w:sz w:val="24"/>
      <w:szCs w:val="24"/>
      <w:lang w:val="ru-RU" w:eastAsia="ru-RU"/>
    </w:rPr>
  </w:style>
  <w:style w:type="paragraph" w:customStyle="1" w:styleId="cdt4ke">
    <w:name w:val="cdt4ke"/>
    <w:basedOn w:val="a"/>
    <w:rsid w:val="007443CC"/>
    <w:pPr>
      <w:spacing w:before="100" w:beforeAutospacing="1" w:after="100" w:afterAutospacing="1"/>
    </w:pPr>
  </w:style>
  <w:style w:type="paragraph" w:styleId="a9">
    <w:name w:val="Balloon Text"/>
    <w:basedOn w:val="a"/>
    <w:link w:val="aa"/>
    <w:uiPriority w:val="99"/>
    <w:semiHidden/>
    <w:unhideWhenUsed/>
    <w:rsid w:val="00D7709C"/>
    <w:rPr>
      <w:rFonts w:ascii="Tahoma" w:hAnsi="Tahoma" w:cs="Tahoma"/>
      <w:sz w:val="16"/>
      <w:szCs w:val="16"/>
    </w:rPr>
  </w:style>
  <w:style w:type="character" w:customStyle="1" w:styleId="aa">
    <w:name w:val="Текст выноски Знак"/>
    <w:basedOn w:val="a0"/>
    <w:link w:val="a9"/>
    <w:uiPriority w:val="99"/>
    <w:semiHidden/>
    <w:rsid w:val="00D7709C"/>
    <w:rPr>
      <w:rFonts w:ascii="Tahoma" w:eastAsia="Times New Roman" w:hAnsi="Tahoma" w:cs="Tahoma"/>
      <w:sz w:val="16"/>
      <w:szCs w:val="16"/>
      <w:lang w:val="ru-RU" w:eastAsia="ru-RU"/>
    </w:rPr>
  </w:style>
  <w:style w:type="paragraph" w:styleId="ab">
    <w:name w:val="List Paragraph"/>
    <w:basedOn w:val="a"/>
    <w:uiPriority w:val="34"/>
    <w:qFormat/>
    <w:rsid w:val="00A33C67"/>
    <w:pPr>
      <w:ind w:left="720"/>
      <w:contextualSpacing/>
    </w:pPr>
  </w:style>
  <w:style w:type="character" w:styleId="ac">
    <w:name w:val="Strong"/>
    <w:basedOn w:val="a0"/>
    <w:uiPriority w:val="22"/>
    <w:qFormat/>
    <w:rsid w:val="004A18A2"/>
    <w:rPr>
      <w:b/>
      <w:bCs/>
    </w:rPr>
  </w:style>
  <w:style w:type="paragraph" w:styleId="ad">
    <w:name w:val="Normal (Web)"/>
    <w:basedOn w:val="a"/>
    <w:uiPriority w:val="99"/>
    <w:semiHidden/>
    <w:unhideWhenUsed/>
    <w:rsid w:val="001352B0"/>
    <w:pPr>
      <w:spacing w:before="100" w:beforeAutospacing="1" w:after="100" w:afterAutospacing="1"/>
    </w:pPr>
    <w:rPr>
      <w:lang w:val="uk-UA" w:eastAsia="uk-UA"/>
    </w:rPr>
  </w:style>
  <w:style w:type="table" w:styleId="ae">
    <w:name w:val="Table Grid"/>
    <w:basedOn w:val="a1"/>
    <w:uiPriority w:val="39"/>
    <w:rsid w:val="00D2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56D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5981">
      <w:bodyDiv w:val="1"/>
      <w:marLeft w:val="0"/>
      <w:marRight w:val="0"/>
      <w:marTop w:val="0"/>
      <w:marBottom w:val="0"/>
      <w:divBdr>
        <w:top w:val="none" w:sz="0" w:space="0" w:color="auto"/>
        <w:left w:val="none" w:sz="0" w:space="0" w:color="auto"/>
        <w:bottom w:val="none" w:sz="0" w:space="0" w:color="auto"/>
        <w:right w:val="none" w:sz="0" w:space="0" w:color="auto"/>
      </w:divBdr>
    </w:div>
    <w:div w:id="316039830">
      <w:bodyDiv w:val="1"/>
      <w:marLeft w:val="0"/>
      <w:marRight w:val="0"/>
      <w:marTop w:val="0"/>
      <w:marBottom w:val="0"/>
      <w:divBdr>
        <w:top w:val="none" w:sz="0" w:space="0" w:color="auto"/>
        <w:left w:val="none" w:sz="0" w:space="0" w:color="auto"/>
        <w:bottom w:val="none" w:sz="0" w:space="0" w:color="auto"/>
        <w:right w:val="none" w:sz="0" w:space="0" w:color="auto"/>
      </w:divBdr>
    </w:div>
    <w:div w:id="563836036">
      <w:bodyDiv w:val="1"/>
      <w:marLeft w:val="0"/>
      <w:marRight w:val="0"/>
      <w:marTop w:val="0"/>
      <w:marBottom w:val="0"/>
      <w:divBdr>
        <w:top w:val="none" w:sz="0" w:space="0" w:color="auto"/>
        <w:left w:val="none" w:sz="0" w:space="0" w:color="auto"/>
        <w:bottom w:val="none" w:sz="0" w:space="0" w:color="auto"/>
        <w:right w:val="none" w:sz="0" w:space="0" w:color="auto"/>
      </w:divBdr>
    </w:div>
    <w:div w:id="572620156">
      <w:bodyDiv w:val="1"/>
      <w:marLeft w:val="0"/>
      <w:marRight w:val="0"/>
      <w:marTop w:val="0"/>
      <w:marBottom w:val="0"/>
      <w:divBdr>
        <w:top w:val="none" w:sz="0" w:space="0" w:color="auto"/>
        <w:left w:val="none" w:sz="0" w:space="0" w:color="auto"/>
        <w:bottom w:val="none" w:sz="0" w:space="0" w:color="auto"/>
        <w:right w:val="none" w:sz="0" w:space="0" w:color="auto"/>
      </w:divBdr>
    </w:div>
    <w:div w:id="714425694">
      <w:bodyDiv w:val="1"/>
      <w:marLeft w:val="0"/>
      <w:marRight w:val="0"/>
      <w:marTop w:val="0"/>
      <w:marBottom w:val="0"/>
      <w:divBdr>
        <w:top w:val="none" w:sz="0" w:space="0" w:color="auto"/>
        <w:left w:val="none" w:sz="0" w:space="0" w:color="auto"/>
        <w:bottom w:val="none" w:sz="0" w:space="0" w:color="auto"/>
        <w:right w:val="none" w:sz="0" w:space="0" w:color="auto"/>
      </w:divBdr>
      <w:divsChild>
        <w:div w:id="1589537560">
          <w:marLeft w:val="0"/>
          <w:marRight w:val="0"/>
          <w:marTop w:val="0"/>
          <w:marBottom w:val="0"/>
          <w:divBdr>
            <w:top w:val="none" w:sz="0" w:space="0" w:color="auto"/>
            <w:left w:val="none" w:sz="0" w:space="0" w:color="auto"/>
            <w:bottom w:val="none" w:sz="0" w:space="0" w:color="auto"/>
            <w:right w:val="none" w:sz="0" w:space="0" w:color="auto"/>
          </w:divBdr>
        </w:div>
      </w:divsChild>
    </w:div>
    <w:div w:id="808521394">
      <w:bodyDiv w:val="1"/>
      <w:marLeft w:val="0"/>
      <w:marRight w:val="0"/>
      <w:marTop w:val="0"/>
      <w:marBottom w:val="0"/>
      <w:divBdr>
        <w:top w:val="none" w:sz="0" w:space="0" w:color="auto"/>
        <w:left w:val="none" w:sz="0" w:space="0" w:color="auto"/>
        <w:bottom w:val="none" w:sz="0" w:space="0" w:color="auto"/>
        <w:right w:val="none" w:sz="0" w:space="0" w:color="auto"/>
      </w:divBdr>
    </w:div>
    <w:div w:id="827282445">
      <w:bodyDiv w:val="1"/>
      <w:marLeft w:val="0"/>
      <w:marRight w:val="0"/>
      <w:marTop w:val="0"/>
      <w:marBottom w:val="0"/>
      <w:divBdr>
        <w:top w:val="none" w:sz="0" w:space="0" w:color="auto"/>
        <w:left w:val="none" w:sz="0" w:space="0" w:color="auto"/>
        <w:bottom w:val="none" w:sz="0" w:space="0" w:color="auto"/>
        <w:right w:val="none" w:sz="0" w:space="0" w:color="auto"/>
      </w:divBdr>
    </w:div>
    <w:div w:id="1031493819">
      <w:bodyDiv w:val="1"/>
      <w:marLeft w:val="0"/>
      <w:marRight w:val="0"/>
      <w:marTop w:val="0"/>
      <w:marBottom w:val="0"/>
      <w:divBdr>
        <w:top w:val="none" w:sz="0" w:space="0" w:color="auto"/>
        <w:left w:val="none" w:sz="0" w:space="0" w:color="auto"/>
        <w:bottom w:val="none" w:sz="0" w:space="0" w:color="auto"/>
        <w:right w:val="none" w:sz="0" w:space="0" w:color="auto"/>
      </w:divBdr>
    </w:div>
    <w:div w:id="1250625363">
      <w:bodyDiv w:val="1"/>
      <w:marLeft w:val="0"/>
      <w:marRight w:val="0"/>
      <w:marTop w:val="0"/>
      <w:marBottom w:val="0"/>
      <w:divBdr>
        <w:top w:val="none" w:sz="0" w:space="0" w:color="auto"/>
        <w:left w:val="none" w:sz="0" w:space="0" w:color="auto"/>
        <w:bottom w:val="none" w:sz="0" w:space="0" w:color="auto"/>
        <w:right w:val="none" w:sz="0" w:space="0" w:color="auto"/>
      </w:divBdr>
      <w:divsChild>
        <w:div w:id="1379353463">
          <w:marLeft w:val="0"/>
          <w:marRight w:val="0"/>
          <w:marTop w:val="0"/>
          <w:marBottom w:val="0"/>
          <w:divBdr>
            <w:top w:val="none" w:sz="0" w:space="0" w:color="auto"/>
            <w:left w:val="none" w:sz="0" w:space="0" w:color="auto"/>
            <w:bottom w:val="none" w:sz="0" w:space="0" w:color="auto"/>
            <w:right w:val="none" w:sz="0" w:space="0" w:color="auto"/>
          </w:divBdr>
        </w:div>
      </w:divsChild>
    </w:div>
    <w:div w:id="1250848288">
      <w:bodyDiv w:val="1"/>
      <w:marLeft w:val="0"/>
      <w:marRight w:val="0"/>
      <w:marTop w:val="0"/>
      <w:marBottom w:val="0"/>
      <w:divBdr>
        <w:top w:val="none" w:sz="0" w:space="0" w:color="auto"/>
        <w:left w:val="none" w:sz="0" w:space="0" w:color="auto"/>
        <w:bottom w:val="none" w:sz="0" w:space="0" w:color="auto"/>
        <w:right w:val="none" w:sz="0" w:space="0" w:color="auto"/>
      </w:divBdr>
    </w:div>
    <w:div w:id="1252083427">
      <w:bodyDiv w:val="1"/>
      <w:marLeft w:val="0"/>
      <w:marRight w:val="0"/>
      <w:marTop w:val="0"/>
      <w:marBottom w:val="0"/>
      <w:divBdr>
        <w:top w:val="none" w:sz="0" w:space="0" w:color="auto"/>
        <w:left w:val="none" w:sz="0" w:space="0" w:color="auto"/>
        <w:bottom w:val="none" w:sz="0" w:space="0" w:color="auto"/>
        <w:right w:val="none" w:sz="0" w:space="0" w:color="auto"/>
      </w:divBdr>
    </w:div>
    <w:div w:id="1531994125">
      <w:bodyDiv w:val="1"/>
      <w:marLeft w:val="0"/>
      <w:marRight w:val="0"/>
      <w:marTop w:val="0"/>
      <w:marBottom w:val="0"/>
      <w:divBdr>
        <w:top w:val="none" w:sz="0" w:space="0" w:color="auto"/>
        <w:left w:val="none" w:sz="0" w:space="0" w:color="auto"/>
        <w:bottom w:val="none" w:sz="0" w:space="0" w:color="auto"/>
        <w:right w:val="none" w:sz="0" w:space="0" w:color="auto"/>
      </w:divBdr>
    </w:div>
    <w:div w:id="1670327369">
      <w:bodyDiv w:val="1"/>
      <w:marLeft w:val="0"/>
      <w:marRight w:val="0"/>
      <w:marTop w:val="0"/>
      <w:marBottom w:val="0"/>
      <w:divBdr>
        <w:top w:val="none" w:sz="0" w:space="0" w:color="auto"/>
        <w:left w:val="none" w:sz="0" w:space="0" w:color="auto"/>
        <w:bottom w:val="none" w:sz="0" w:space="0" w:color="auto"/>
        <w:right w:val="none" w:sz="0" w:space="0" w:color="auto"/>
      </w:divBdr>
    </w:div>
    <w:div w:id="1692141604">
      <w:bodyDiv w:val="1"/>
      <w:marLeft w:val="0"/>
      <w:marRight w:val="0"/>
      <w:marTop w:val="0"/>
      <w:marBottom w:val="0"/>
      <w:divBdr>
        <w:top w:val="none" w:sz="0" w:space="0" w:color="auto"/>
        <w:left w:val="none" w:sz="0" w:space="0" w:color="auto"/>
        <w:bottom w:val="none" w:sz="0" w:space="0" w:color="auto"/>
        <w:right w:val="none" w:sz="0" w:space="0" w:color="auto"/>
      </w:divBdr>
    </w:div>
    <w:div w:id="1987392426">
      <w:bodyDiv w:val="1"/>
      <w:marLeft w:val="0"/>
      <w:marRight w:val="0"/>
      <w:marTop w:val="0"/>
      <w:marBottom w:val="0"/>
      <w:divBdr>
        <w:top w:val="none" w:sz="0" w:space="0" w:color="auto"/>
        <w:left w:val="none" w:sz="0" w:space="0" w:color="auto"/>
        <w:bottom w:val="none" w:sz="0" w:space="0" w:color="auto"/>
        <w:right w:val="none" w:sz="0" w:space="0" w:color="auto"/>
      </w:divBdr>
    </w:div>
    <w:div w:id="2147383044">
      <w:bodyDiv w:val="1"/>
      <w:marLeft w:val="0"/>
      <w:marRight w:val="0"/>
      <w:marTop w:val="0"/>
      <w:marBottom w:val="0"/>
      <w:divBdr>
        <w:top w:val="none" w:sz="0" w:space="0" w:color="auto"/>
        <w:left w:val="none" w:sz="0" w:space="0" w:color="auto"/>
        <w:bottom w:val="none" w:sz="0" w:space="0" w:color="auto"/>
        <w:right w:val="none" w:sz="0" w:space="0" w:color="auto"/>
      </w:divBdr>
      <w:divsChild>
        <w:div w:id="37292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bn.co.ua/pay/pub01/dbn-B-2212_planuvannya.pdf" TargetMode="External"/><Relationship Id="rId4" Type="http://schemas.openxmlformats.org/officeDocument/2006/relationships/settings" Target="settings.xml"/><Relationship Id="rId9" Type="http://schemas.openxmlformats.org/officeDocument/2006/relationships/hyperlink" Target="https://zakon.rada.gov.ua/laws/show/305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3C8A0-F29A-4C06-B6F0-D315DE140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7144</Characters>
  <Application>Microsoft Office Word</Application>
  <DocSecurity>0</DocSecurity>
  <Lines>59</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Аліна</dc:creator>
  <cp:lastModifiedBy>UserOk</cp:lastModifiedBy>
  <cp:revision>2</cp:revision>
  <cp:lastPrinted>2021-03-31T11:01:00Z</cp:lastPrinted>
  <dcterms:created xsi:type="dcterms:W3CDTF">2025-11-13T20:29:00Z</dcterms:created>
  <dcterms:modified xsi:type="dcterms:W3CDTF">2025-11-13T20:29:00Z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6007933c26a2b5a0f48a19706c37f52cb0505c9ad850dc241c8dd2aae61a0f98</vt:lpwstr>
  </property>
</Properties>
</file>